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13"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20"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9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3, 2026</w:t>
      </w:r>
    </w:p>
    <w:p>
      <w:pPr>
        <w:spacing w:after="0" w:line="17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0"/>
          <w:szCs w:val="40"/>
          <w:b w:val="1"/>
          <w:bCs w:val="1"/>
          <w:color w:val="auto"/>
        </w:rPr>
        <w:t>GLOBUS MEDICAL, INC.</w:t>
      </w:r>
    </w:p>
    <w:p>
      <w:pPr>
        <w:spacing w:after="0" w:line="4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28" w:lineRule="exact"/>
        <w:rPr>
          <w:sz w:val="24"/>
          <w:szCs w:val="24"/>
          <w:color w:val="auto"/>
        </w:rPr>
      </w:pPr>
    </w:p>
    <w:tbl>
      <w:tblPr>
        <w:tblLayout w:type="fixed"/>
        <w:tblInd w:w="1020" w:type="dxa"/>
        <w:tblCellMar>
          <w:top w:w="0" w:type="dxa"/>
          <w:left w:w="0" w:type="dxa"/>
          <w:bottom w:w="0" w:type="dxa"/>
          <w:right w:w="0" w:type="dxa"/>
        </w:tblCellMar>
      </w:tblPr>
      <w:tr>
        <w:trPr>
          <w:trHeight w:val="238"/>
        </w:trPr>
        <w:tc>
          <w:tcPr>
            <w:tcW w:w="1860" w:type="dxa"/>
            <w:vAlign w:val="bottom"/>
          </w:tcPr>
          <w:p>
            <w:pPr>
              <w:jc w:val="center"/>
              <w:ind w:right="122"/>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5620" w:type="dxa"/>
            <w:vAlign w:val="bottom"/>
          </w:tcPr>
          <w:p>
            <w:pPr>
              <w:jc w:val="center"/>
              <w:ind w:right="78"/>
              <w:spacing w:after="0"/>
              <w:rPr>
                <w:sz w:val="20"/>
                <w:szCs w:val="20"/>
                <w:color w:val="auto"/>
              </w:rPr>
            </w:pPr>
            <w:r>
              <w:rPr>
                <w:rFonts w:ascii="Times New Roman" w:cs="Times New Roman" w:eastAsia="Times New Roman" w:hAnsi="Times New Roman"/>
                <w:sz w:val="18"/>
                <w:szCs w:val="18"/>
                <w:b w:val="1"/>
                <w:bCs w:val="1"/>
                <w:color w:val="auto"/>
                <w:w w:val="99"/>
              </w:rPr>
              <w:t>001-35621</w:t>
            </w:r>
          </w:p>
        </w:tc>
        <w:tc>
          <w:tcPr>
            <w:tcW w:w="1460" w:type="dxa"/>
            <w:vAlign w:val="bottom"/>
          </w:tcPr>
          <w:p>
            <w:pPr>
              <w:jc w:val="center"/>
              <w:ind w:left="262"/>
              <w:spacing w:after="0"/>
              <w:rPr>
                <w:sz w:val="20"/>
                <w:szCs w:val="20"/>
                <w:color w:val="auto"/>
              </w:rPr>
            </w:pPr>
            <w:r>
              <w:rPr>
                <w:rFonts w:ascii="Times New Roman" w:cs="Times New Roman" w:eastAsia="Times New Roman" w:hAnsi="Times New Roman"/>
                <w:sz w:val="18"/>
                <w:szCs w:val="18"/>
                <w:b w:val="1"/>
                <w:bCs w:val="1"/>
                <w:color w:val="auto"/>
              </w:rPr>
              <w:t>04-3744954</w:t>
            </w:r>
          </w:p>
        </w:tc>
      </w:tr>
      <w:tr>
        <w:trPr>
          <w:trHeight w:val="205"/>
        </w:trPr>
        <w:tc>
          <w:tcPr>
            <w:tcW w:w="186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62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460" w:type="dxa"/>
            <w:vAlign w:val="bottom"/>
          </w:tcPr>
          <w:p>
            <w:pPr>
              <w:jc w:val="center"/>
              <w:ind w:left="2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86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62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460" w:type="dxa"/>
            <w:vAlign w:val="bottom"/>
          </w:tcPr>
          <w:p>
            <w:pPr>
              <w:jc w:val="center"/>
              <w:ind w:left="2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1"/>
        </w:trPr>
        <w:tc>
          <w:tcPr>
            <w:tcW w:w="1860" w:type="dxa"/>
            <w:vAlign w:val="bottom"/>
          </w:tcPr>
          <w:p>
            <w:pPr>
              <w:spacing w:after="0"/>
              <w:rPr>
                <w:sz w:val="24"/>
                <w:szCs w:val="24"/>
                <w:color w:val="auto"/>
              </w:rPr>
            </w:pPr>
          </w:p>
        </w:tc>
        <w:tc>
          <w:tcPr>
            <w:tcW w:w="562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2560 General Armistead Avenue, Audubon, PA 19403-5214</w:t>
            </w:r>
          </w:p>
        </w:tc>
        <w:tc>
          <w:tcPr>
            <w:tcW w:w="1460" w:type="dxa"/>
            <w:vAlign w:val="bottom"/>
          </w:tcPr>
          <w:p>
            <w:pPr>
              <w:spacing w:after="0"/>
              <w:rPr>
                <w:sz w:val="24"/>
                <w:szCs w:val="24"/>
                <w:color w:val="auto"/>
              </w:rPr>
            </w:pPr>
          </w:p>
        </w:tc>
      </w:tr>
      <w:tr>
        <w:trPr>
          <w:trHeight w:val="190"/>
        </w:trPr>
        <w:tc>
          <w:tcPr>
            <w:tcW w:w="1860" w:type="dxa"/>
            <w:vAlign w:val="bottom"/>
          </w:tcPr>
          <w:p>
            <w:pPr>
              <w:spacing w:after="0"/>
              <w:rPr>
                <w:sz w:val="16"/>
                <w:szCs w:val="16"/>
                <w:color w:val="auto"/>
              </w:rPr>
            </w:pPr>
          </w:p>
        </w:tc>
        <w:tc>
          <w:tcPr>
            <w:tcW w:w="562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460" w:type="dxa"/>
            <w:vAlign w:val="bottom"/>
          </w:tcPr>
          <w:p>
            <w:pPr>
              <w:spacing w:after="0"/>
              <w:rPr>
                <w:sz w:val="16"/>
                <w:szCs w:val="16"/>
                <w:color w:val="auto"/>
              </w:rPr>
            </w:pPr>
          </w:p>
        </w:tc>
      </w:tr>
      <w:tr>
        <w:trPr>
          <w:trHeight w:val="377"/>
        </w:trPr>
        <w:tc>
          <w:tcPr>
            <w:tcW w:w="1860" w:type="dxa"/>
            <w:vAlign w:val="bottom"/>
          </w:tcPr>
          <w:p>
            <w:pPr>
              <w:spacing w:after="0"/>
              <w:rPr>
                <w:sz w:val="24"/>
                <w:szCs w:val="24"/>
                <w:color w:val="auto"/>
              </w:rPr>
            </w:pPr>
          </w:p>
        </w:tc>
        <w:tc>
          <w:tcPr>
            <w:tcW w:w="562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(610) 930-1800</w:t>
            </w:r>
          </w:p>
        </w:tc>
        <w:tc>
          <w:tcPr>
            <w:tcW w:w="1460" w:type="dxa"/>
            <w:vAlign w:val="bottom"/>
          </w:tcPr>
          <w:p>
            <w:pPr>
              <w:spacing w:after="0"/>
              <w:rPr>
                <w:sz w:val="24"/>
                <w:szCs w:val="24"/>
                <w:color w:val="auto"/>
              </w:rPr>
            </w:pPr>
          </w:p>
        </w:tc>
      </w:tr>
      <w:tr>
        <w:trPr>
          <w:trHeight w:val="190"/>
        </w:trPr>
        <w:tc>
          <w:tcPr>
            <w:tcW w:w="1860" w:type="dxa"/>
            <w:vAlign w:val="bottom"/>
          </w:tcPr>
          <w:p>
            <w:pPr>
              <w:spacing w:after="0"/>
              <w:rPr>
                <w:sz w:val="16"/>
                <w:szCs w:val="16"/>
                <w:color w:val="auto"/>
              </w:rPr>
            </w:pPr>
          </w:p>
        </w:tc>
        <w:tc>
          <w:tcPr>
            <w:tcW w:w="562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460" w:type="dxa"/>
            <w:vAlign w:val="bottom"/>
          </w:tcPr>
          <w:p>
            <w:pPr>
              <w:spacing w:after="0"/>
              <w:rPr>
                <w:sz w:val="16"/>
                <w:szCs w:val="16"/>
                <w:color w:val="auto"/>
              </w:rPr>
            </w:pPr>
          </w:p>
        </w:tc>
      </w:tr>
      <w:tr>
        <w:trPr>
          <w:trHeight w:val="415"/>
        </w:trPr>
        <w:tc>
          <w:tcPr>
            <w:tcW w:w="1860" w:type="dxa"/>
            <w:vAlign w:val="bottom"/>
          </w:tcPr>
          <w:p>
            <w:pPr>
              <w:spacing w:after="0"/>
              <w:rPr>
                <w:sz w:val="24"/>
                <w:szCs w:val="24"/>
                <w:color w:val="auto"/>
              </w:rPr>
            </w:pPr>
          </w:p>
        </w:tc>
        <w:tc>
          <w:tcPr>
            <w:tcW w:w="562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460" w:type="dxa"/>
            <w:vAlign w:val="bottom"/>
          </w:tcPr>
          <w:p>
            <w:pPr>
              <w:spacing w:after="0"/>
              <w:rPr>
                <w:sz w:val="24"/>
                <w:szCs w:val="24"/>
                <w:color w:val="auto"/>
              </w:rPr>
            </w:pPr>
          </w:p>
        </w:tc>
      </w:tr>
      <w:tr>
        <w:trPr>
          <w:trHeight w:val="243"/>
        </w:trPr>
        <w:tc>
          <w:tcPr>
            <w:tcW w:w="1860" w:type="dxa"/>
            <w:vAlign w:val="bottom"/>
          </w:tcPr>
          <w:p>
            <w:pPr>
              <w:spacing w:after="0"/>
              <w:rPr>
                <w:sz w:val="21"/>
                <w:szCs w:val="21"/>
                <w:color w:val="auto"/>
              </w:rPr>
            </w:pPr>
          </w:p>
        </w:tc>
        <w:tc>
          <w:tcPr>
            <w:tcW w:w="562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1460" w:type="dxa"/>
            <w:vAlign w:val="bottom"/>
          </w:tcPr>
          <w:p>
            <w:pPr>
              <w:spacing w:after="0"/>
              <w:rPr>
                <w:sz w:val="21"/>
                <w:szCs w:val="21"/>
                <w:color w:val="auto"/>
              </w:rPr>
            </w:pPr>
          </w:p>
        </w:tc>
      </w:tr>
    </w:tbl>
    <w:p>
      <w:pPr>
        <w:spacing w:after="0" w:line="292" w:lineRule="exact"/>
        <w:rPr>
          <w:sz w:val="24"/>
          <w:szCs w:val="24"/>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5"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11"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11"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11"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5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140"/>
          </w:cols>
          <w:pgMar w:left="320" w:top="1235" w:right="439" w:bottom="1440" w:gutter="0" w:footer="0" w:header="0"/>
        </w:sectPr>
      </w:pPr>
    </w:p>
    <w:p>
      <w:pPr>
        <w:spacing w:after="0" w:line="59"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79" w:lineRule="exact"/>
        <w:rPr>
          <w:sz w:val="24"/>
          <w:szCs w:val="24"/>
          <w:color w:val="auto"/>
        </w:rPr>
      </w:pPr>
    </w:p>
    <w:p>
      <w:pPr>
        <w:sectPr>
          <w:pgSz w:w="11900" w:h="16838" w:orient="portrait"/>
          <w:cols w:equalWidth="0" w:num="3">
            <w:col w:w="4200" w:space="720"/>
            <w:col w:w="1780" w:space="720"/>
            <w:col w:w="3720"/>
          </w:cols>
          <w:pgMar w:left="320" w:top="1235" w:right="439"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17"/>
          <w:szCs w:val="17"/>
          <w:color w:val="auto"/>
        </w:rPr>
        <w:t>Class A Common Stock, par value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GMED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New York Stock Exchange</w:t>
      </w:r>
    </w:p>
    <w:p>
      <w:pPr>
        <w:spacing w:after="0" w:line="211" w:lineRule="exact"/>
        <w:rPr>
          <w:sz w:val="24"/>
          <w:szCs w:val="24"/>
          <w:color w:val="auto"/>
        </w:rPr>
      </w:pPr>
    </w:p>
    <w:p>
      <w:pPr>
        <w:sectPr>
          <w:pgSz w:w="11900" w:h="16838" w:orient="portrait"/>
          <w:cols w:equalWidth="0" w:num="3">
            <w:col w:w="4640" w:space="720"/>
            <w:col w:w="2040" w:space="720"/>
            <w:col w:w="3020"/>
          </w:cols>
          <w:pgMar w:left="320" w:top="1235" w:right="439" w:bottom="1440" w:gutter="0" w:footer="0" w:header="0"/>
          <w:type w:val="continuous"/>
        </w:sectPr>
      </w:pPr>
    </w:p>
    <w:p>
      <w:pPr>
        <w:spacing w:after="0" w:line="66"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5" w:lineRule="exact"/>
        <w:rPr>
          <w:sz w:val="24"/>
          <w:szCs w:val="24"/>
          <w:color w:val="auto"/>
        </w:rPr>
      </w:pPr>
    </w:p>
    <w:p>
      <w:pPr>
        <w:spacing w:after="0"/>
        <w:tabs>
          <w:tab w:leader="none" w:pos="21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Wingdings" w:cs="Wingdings" w:eastAsia="Wingdings" w:hAnsi="Wingdings"/>
          <w:sz w:val="17"/>
          <w:szCs w:val="17"/>
          <w:b w:val="1"/>
          <w:bCs w:val="1"/>
          <w:color w:val="auto"/>
        </w:rPr>
        <w:t>o</w:t>
      </w:r>
    </w:p>
    <w:p>
      <w:pPr>
        <w:spacing w:after="0" w:line="225"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668020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35" w:right="439" w:bottom="1440" w:gutter="0" w:footer="0" w:header="0"/>
          <w:type w:val="continuous"/>
        </w:sectPr>
      </w:pPr>
    </w:p>
    <w:bookmarkStart w:id="1" w:name="page2"/>
    <w:bookmarkEnd w:id="1"/>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June 3, 2026, Globus Medical, Inc. (the “Company”) held its 2026 Annual Meeting of Stockholders (the “Annual Meeting”) at which the Company’s stockholders approved an amendment (the “2021 Equity Incentive Plan Amendment”) to the Globus Medical, Inc. 2021 Equity Incentive Plan (the “Plan”) to increase the number of shares authorized thereunder by 1,000,000 (the Plan as amended by the 2021 Equity Incentive Plan Amendment, the “Amended Plan”). The 2021 Equity Incentive Plan Amendment was previously recommended for approval by the Compensation Committee of the Board of Directors of the Company (the “Board”) and approved by the Board, in each case, subject to stockholder approval at the Annual Meeting. The 2021 Equity Incentive Plan Amendment became effective on June 3, 2026 upon stockholder approval and increased the aggregate number of shares authorized for issuance under the Plan to 12,000,000 shares of the Company’s Class A Common Stock. The 2021 Equity Incentive Plan Amendment also increased the aggregate number of shares of Class A Common Stock that may be issued or transferred under the Plan pursuant to incentive stock options under Section 422 of the Internal Revenue Code of 1986, as amended, from 11,000,000 to 12,000,000.</w:t>
      </w:r>
    </w:p>
    <w:p>
      <w:pPr>
        <w:spacing w:after="0" w:line="188" w:lineRule="exact"/>
        <w:rPr>
          <w:sz w:val="20"/>
          <w:szCs w:val="20"/>
          <w:color w:val="auto"/>
        </w:rPr>
      </w:pPr>
    </w:p>
    <w:p>
      <w:pPr>
        <w:jc w:val="both"/>
        <w:ind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terms of the Amended Plan are described in the section entitled “Proposal 2 – Approval of Amendment to the 2021 Equity Incentive Plan” set forth on pages 15-23 of the Company’s definitive Proxy Statement on </w:t>
      </w:r>
      <w:hyperlink r:id="rId9">
        <w:r>
          <w:rPr>
            <w:rFonts w:ascii="Times New Roman" w:cs="Times New Roman" w:eastAsia="Times New Roman" w:hAnsi="Times New Roman"/>
            <w:sz w:val="18"/>
            <w:szCs w:val="18"/>
            <w:u w:val="single" w:color="auto"/>
            <w:color w:val="0000FF"/>
          </w:rPr>
          <w:t>Schedule 14A filed with the Securities and Exchange Commission on April 24, 2026</w:t>
        </w:r>
      </w:hyperlink>
      <w:r>
        <w:rPr>
          <w:rFonts w:ascii="Times New Roman" w:cs="Times New Roman" w:eastAsia="Times New Roman" w:hAnsi="Times New Roman"/>
          <w:sz w:val="18"/>
          <w:szCs w:val="18"/>
          <w:color w:val="auto"/>
        </w:rPr>
        <w:t xml:space="preserve"> in connection with the Annual Meeting (the “Proxy Statement”), which such description is incorporated herein by reference and qualified its entirety by the full text of the Amended Plan, a copy of which is filed as Exhibit 10.1 hereto and is incorporated herein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Annual Meeting, the stockholders voted on the following four proposals and cast their votes as described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1 - Election of two Class II directors to serve until the 2029 Annual Meeting of Stockholders.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Each of the director nominees listed below were elected by the Company’s stockholders at the Annual Meeting to serve a three-year term on the Board. The voting results were as follows:</w:t>
      </w:r>
    </w:p>
    <w:p>
      <w:pPr>
        <w:spacing w:after="0" w:line="40"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Director Nominee</w:t>
            </w: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Withhold</w:t>
            </w:r>
          </w:p>
        </w:tc>
        <w:tc>
          <w:tcPr>
            <w:tcW w:w="1780" w:type="dxa"/>
            <w:vAlign w:val="bottom"/>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w:t>
            </w:r>
          </w:p>
        </w:tc>
      </w:tr>
      <w:tr>
        <w:trPr>
          <w:trHeight w:val="507"/>
        </w:trPr>
        <w:tc>
          <w:tcPr>
            <w:tcW w:w="222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color w:val="auto"/>
                <w:w w:val="97"/>
              </w:rPr>
              <w:t>Keith W. Pfeil</w:t>
            </w:r>
          </w:p>
        </w:tc>
        <w:tc>
          <w:tcPr>
            <w:tcW w:w="27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7"/>
              </w:rPr>
              <w:t>293,453,432</w:t>
            </w:r>
          </w:p>
        </w:tc>
        <w:tc>
          <w:tcPr>
            <w:tcW w:w="3540" w:type="dxa"/>
            <w:vAlign w:val="bottom"/>
            <w:gridSpan w:val="3"/>
          </w:tcPr>
          <w:p>
            <w:pPr>
              <w:jc w:val="right"/>
              <w:ind w:right="1740"/>
              <w:spacing w:after="0"/>
              <w:rPr>
                <w:sz w:val="20"/>
                <w:szCs w:val="20"/>
                <w:color w:val="auto"/>
              </w:rPr>
            </w:pPr>
            <w:r>
              <w:rPr>
                <w:rFonts w:ascii="Times New Roman" w:cs="Times New Roman" w:eastAsia="Times New Roman" w:hAnsi="Times New Roman"/>
                <w:sz w:val="18"/>
                <w:szCs w:val="18"/>
                <w:color w:val="auto"/>
              </w:rPr>
              <w:t>28,120,775</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6,902,949</w:t>
            </w:r>
          </w:p>
        </w:tc>
      </w:tr>
      <w:tr>
        <w:trPr>
          <w:trHeight w:val="486"/>
        </w:trPr>
        <w:tc>
          <w:tcPr>
            <w:tcW w:w="222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color w:val="auto"/>
                <w:w w:val="98"/>
              </w:rPr>
              <w:t>Robert A. Douglas</w:t>
            </w:r>
          </w:p>
        </w:tc>
        <w:tc>
          <w:tcPr>
            <w:tcW w:w="27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7"/>
              </w:rPr>
              <w:t>311,683,904</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9,890,303</w:t>
            </w:r>
          </w:p>
        </w:tc>
        <w:tc>
          <w:tcPr>
            <w:tcW w:w="178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6,902,949</w:t>
            </w: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2 - Approval of 2021 Equity Incentive Plan Amendment.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stockholders approved the 2021 Equity Incentive Plan Amendment. The voting results were as follows:</w:t>
      </w:r>
    </w:p>
    <w:p>
      <w:pPr>
        <w:spacing w:after="0" w:line="104" w:lineRule="exact"/>
        <w:rPr>
          <w:sz w:val="20"/>
          <w:szCs w:val="20"/>
          <w:color w:val="auto"/>
        </w:rPr>
      </w:pPr>
    </w:p>
    <w:tbl>
      <w:tblPr>
        <w:tblLayout w:type="fixed"/>
        <w:tblInd w:w="960" w:type="dxa"/>
        <w:tblCellMar>
          <w:top w:w="0" w:type="dxa"/>
          <w:left w:w="0" w:type="dxa"/>
          <w:bottom w:w="0" w:type="dxa"/>
          <w:right w:w="0" w:type="dxa"/>
        </w:tblCellMar>
      </w:tblPr>
      <w:tr>
        <w:trPr>
          <w:trHeight w:val="207"/>
        </w:trPr>
        <w:tc>
          <w:tcPr>
            <w:tcW w:w="320" w:type="dxa"/>
            <w:vAlign w:val="bottom"/>
          </w:tcPr>
          <w:p>
            <w:pPr>
              <w:spacing w:after="0"/>
              <w:rPr>
                <w:sz w:val="18"/>
                <w:szCs w:val="18"/>
                <w:color w:val="auto"/>
              </w:rPr>
            </w:pP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60" w:type="dxa"/>
            <w:vAlign w:val="bottom"/>
            <w:gridSpan w:val="2"/>
          </w:tcPr>
          <w:p>
            <w:pPr>
              <w:jc w:val="center"/>
              <w:ind w:right="186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w:t>
            </w:r>
          </w:p>
        </w:tc>
      </w:tr>
      <w:tr>
        <w:trPr>
          <w:trHeight w:val="20"/>
        </w:trPr>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r>
        <w:trPr>
          <w:trHeight w:val="507"/>
        </w:trPr>
        <w:tc>
          <w:tcPr>
            <w:tcW w:w="1880" w:type="dxa"/>
            <w:vAlign w:val="bottom"/>
            <w:gridSpan w:val="3"/>
          </w:tcPr>
          <w:p>
            <w:pPr>
              <w:jc w:val="right"/>
              <w:ind w:right="980"/>
              <w:spacing w:after="0"/>
              <w:rPr>
                <w:sz w:val="20"/>
                <w:szCs w:val="20"/>
                <w:color w:val="auto"/>
              </w:rPr>
            </w:pPr>
            <w:r>
              <w:rPr>
                <w:rFonts w:ascii="Times New Roman" w:cs="Times New Roman" w:eastAsia="Times New Roman" w:hAnsi="Times New Roman"/>
                <w:sz w:val="18"/>
                <w:szCs w:val="18"/>
                <w:color w:val="auto"/>
                <w:w w:val="97"/>
              </w:rPr>
              <w:t>246,228,534</w:t>
            </w:r>
          </w:p>
        </w:tc>
        <w:tc>
          <w:tcPr>
            <w:tcW w:w="2840" w:type="dxa"/>
            <w:vAlign w:val="bottom"/>
            <w:gridSpan w:val="3"/>
          </w:tcPr>
          <w:p>
            <w:pPr>
              <w:jc w:val="right"/>
              <w:ind w:right="1060"/>
              <w:spacing w:after="0"/>
              <w:rPr>
                <w:sz w:val="20"/>
                <w:szCs w:val="20"/>
                <w:color w:val="auto"/>
              </w:rPr>
            </w:pPr>
            <w:r>
              <w:rPr>
                <w:rFonts w:ascii="Times New Roman" w:cs="Times New Roman" w:eastAsia="Times New Roman" w:hAnsi="Times New Roman"/>
                <w:sz w:val="18"/>
                <w:szCs w:val="18"/>
                <w:color w:val="auto"/>
              </w:rPr>
              <w:t>75,266,538</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79,135</w:t>
            </w:r>
          </w:p>
        </w:tc>
        <w:tc>
          <w:tcPr>
            <w:tcW w:w="1860" w:type="dxa"/>
            <w:vAlign w:val="bottom"/>
          </w:tcPr>
          <w:p>
            <w:pPr>
              <w:spacing w:after="0"/>
              <w:rPr>
                <w:sz w:val="24"/>
                <w:szCs w:val="24"/>
                <w:color w:val="auto"/>
              </w:rPr>
            </w:pP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6,902,949</w:t>
            </w:r>
          </w:p>
        </w:tc>
      </w:tr>
    </w:tbl>
    <w:p>
      <w:pPr>
        <w:spacing w:after="0" w:line="200" w:lineRule="exact"/>
        <w:rPr>
          <w:sz w:val="20"/>
          <w:szCs w:val="20"/>
          <w:color w:val="auto"/>
        </w:rPr>
      </w:pPr>
    </w:p>
    <w:p>
      <w:pPr>
        <w:spacing w:after="0" w:line="31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Proposal 3 - Ratification of the appointment of Deloitte &amp; Touche LLP as the Company’s independent registered public accounting firm for the year ending December 31, 2026.</w:t>
      </w:r>
    </w:p>
    <w:p>
      <w:pPr>
        <w:spacing w:after="0" w:line="15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Company’s stockholders approved the ratification of the appointment of Deloitte &amp; Touche LLP as the Company’s independent registered public accounting firm for the fiscal year ending December 31, 2026. The voting results were as follows:</w:t>
      </w:r>
    </w:p>
    <w:p>
      <w:pPr>
        <w:spacing w:after="0" w:line="40" w:lineRule="exact"/>
        <w:rPr>
          <w:sz w:val="20"/>
          <w:szCs w:val="20"/>
          <w:color w:val="auto"/>
        </w:rPr>
      </w:pPr>
    </w:p>
    <w:tbl>
      <w:tblPr>
        <w:tblLayout w:type="fixed"/>
        <w:tblInd w:w="960" w:type="dxa"/>
        <w:tblCellMar>
          <w:top w:w="0" w:type="dxa"/>
          <w:left w:w="0" w:type="dxa"/>
          <w:bottom w:w="0" w:type="dxa"/>
          <w:right w:w="0" w:type="dxa"/>
        </w:tblCellMar>
      </w:tblPr>
      <w:tr>
        <w:trPr>
          <w:trHeight w:val="207"/>
        </w:trPr>
        <w:tc>
          <w:tcPr>
            <w:tcW w:w="320" w:type="dxa"/>
            <w:vAlign w:val="bottom"/>
          </w:tcPr>
          <w:p>
            <w:pPr>
              <w:spacing w:after="0"/>
              <w:rPr>
                <w:sz w:val="18"/>
                <w:szCs w:val="18"/>
                <w:color w:val="auto"/>
              </w:rPr>
            </w:pP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36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60" w:type="dxa"/>
            <w:vAlign w:val="bottom"/>
            <w:gridSpan w:val="2"/>
          </w:tcPr>
          <w:p>
            <w:pPr>
              <w:jc w:val="center"/>
              <w:ind w:right="186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w:t>
            </w:r>
          </w:p>
        </w:tc>
      </w:tr>
      <w:tr>
        <w:trPr>
          <w:trHeight w:val="20"/>
        </w:trPr>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r>
        <w:trPr>
          <w:trHeight w:val="506"/>
        </w:trPr>
        <w:tc>
          <w:tcPr>
            <w:tcW w:w="2960" w:type="dxa"/>
            <w:vAlign w:val="bottom"/>
            <w:gridSpan w:val="3"/>
          </w:tcPr>
          <w:p>
            <w:pPr>
              <w:jc w:val="right"/>
              <w:ind w:right="2060"/>
              <w:spacing w:after="0"/>
              <w:rPr>
                <w:sz w:val="20"/>
                <w:szCs w:val="20"/>
                <w:color w:val="auto"/>
              </w:rPr>
            </w:pPr>
            <w:r>
              <w:rPr>
                <w:rFonts w:ascii="Times New Roman" w:cs="Times New Roman" w:eastAsia="Times New Roman" w:hAnsi="Times New Roman"/>
                <w:sz w:val="18"/>
                <w:szCs w:val="18"/>
                <w:color w:val="auto"/>
                <w:w w:val="97"/>
              </w:rPr>
              <w:t>327,965,803</w:t>
            </w: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w w:val="99"/>
              </w:rPr>
              <w:t>467,955</w:t>
            </w:r>
          </w:p>
        </w:tc>
        <w:tc>
          <w:tcPr>
            <w:tcW w:w="1100" w:type="dxa"/>
            <w:vAlign w:val="bottom"/>
          </w:tcPr>
          <w:p>
            <w:pPr>
              <w:spacing w:after="0"/>
              <w:rPr>
                <w:sz w:val="24"/>
                <w:szCs w:val="24"/>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43,398</w:t>
            </w:r>
          </w:p>
        </w:tc>
        <w:tc>
          <w:tcPr>
            <w:tcW w:w="1860" w:type="dxa"/>
            <w:vAlign w:val="bottom"/>
          </w:tcPr>
          <w:p>
            <w:pPr>
              <w:spacing w:after="0"/>
              <w:rPr>
                <w:sz w:val="24"/>
                <w:szCs w:val="24"/>
                <w:color w:val="auto"/>
              </w:rPr>
            </w:pPr>
          </w:p>
        </w:tc>
        <w:tc>
          <w:tcPr>
            <w:tcW w:w="13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0</w:t>
            </w: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4 - Approval, on a non-binding, advisory basis, of the 2025 compensation of the Company’s named executive officers.</w:t>
      </w:r>
    </w:p>
    <w:p>
      <w:pPr>
        <w:spacing w:after="0" w:line="229" w:lineRule="exact"/>
        <w:rPr>
          <w:sz w:val="20"/>
          <w:szCs w:val="20"/>
          <w:color w:val="auto"/>
        </w:rPr>
      </w:pPr>
    </w:p>
    <w:p>
      <w:pPr>
        <w:ind w:right="100"/>
        <w:spacing w:after="0" w:line="294" w:lineRule="auto"/>
        <w:rPr>
          <w:sz w:val="20"/>
          <w:szCs w:val="20"/>
          <w:color w:val="auto"/>
        </w:rPr>
      </w:pPr>
      <w:r>
        <w:rPr>
          <w:rFonts w:ascii="Times New Roman" w:cs="Times New Roman" w:eastAsia="Times New Roman" w:hAnsi="Times New Roman"/>
          <w:sz w:val="18"/>
          <w:szCs w:val="18"/>
          <w:color w:val="auto"/>
        </w:rPr>
        <w:t>The Company’s stockholders approved, on a non-binding, advisory basis the 2025 compensation of the Company’s named executive officers, as described in the Proxy Statement. The voting results were as follows</w:t>
      </w:r>
      <w:r>
        <w:rPr>
          <w:rFonts w:ascii="Times New Roman" w:cs="Times New Roman" w:eastAsia="Times New Roman" w:hAnsi="Times New Roman"/>
          <w:sz w:val="21"/>
          <w:szCs w:val="21"/>
          <w:color w:val="auto"/>
        </w:rPr>
        <w:t>:</w:t>
      </w:r>
    </w:p>
    <w:p>
      <w:pPr>
        <w:spacing w:after="0" w:line="18" w:lineRule="exact"/>
        <w:rPr>
          <w:sz w:val="20"/>
          <w:szCs w:val="20"/>
          <w:color w:val="auto"/>
        </w:rPr>
      </w:pPr>
    </w:p>
    <w:tbl>
      <w:tblPr>
        <w:tblLayout w:type="fixed"/>
        <w:tblInd w:w="960" w:type="dxa"/>
        <w:tblCellMar>
          <w:top w:w="0" w:type="dxa"/>
          <w:left w:w="0" w:type="dxa"/>
          <w:bottom w:w="0" w:type="dxa"/>
          <w:right w:w="0" w:type="dxa"/>
        </w:tblCellMar>
      </w:tblPr>
      <w:tr>
        <w:trPr>
          <w:trHeight w:val="207"/>
        </w:trPr>
        <w:tc>
          <w:tcPr>
            <w:tcW w:w="320" w:type="dxa"/>
            <w:vAlign w:val="bottom"/>
          </w:tcPr>
          <w:p>
            <w:pPr>
              <w:spacing w:after="0"/>
              <w:rPr>
                <w:sz w:val="18"/>
                <w:szCs w:val="18"/>
                <w:color w:val="auto"/>
              </w:rPr>
            </w:pP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60" w:type="dxa"/>
            <w:vAlign w:val="bottom"/>
            <w:gridSpan w:val="2"/>
          </w:tcPr>
          <w:p>
            <w:pPr>
              <w:jc w:val="center"/>
              <w:ind w:right="186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w:t>
            </w:r>
          </w:p>
        </w:tc>
      </w:tr>
      <w:tr>
        <w:trPr>
          <w:trHeight w:val="20"/>
        </w:trPr>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r>
        <w:trPr>
          <w:trHeight w:val="506"/>
        </w:trPr>
        <w:tc>
          <w:tcPr>
            <w:tcW w:w="1900" w:type="dxa"/>
            <w:vAlign w:val="bottom"/>
            <w:gridSpan w:val="3"/>
          </w:tcPr>
          <w:p>
            <w:pPr>
              <w:jc w:val="right"/>
              <w:ind w:right="1000"/>
              <w:spacing w:after="0"/>
              <w:rPr>
                <w:sz w:val="20"/>
                <w:szCs w:val="20"/>
                <w:color w:val="auto"/>
              </w:rPr>
            </w:pPr>
            <w:r>
              <w:rPr>
                <w:rFonts w:ascii="Times New Roman" w:cs="Times New Roman" w:eastAsia="Times New Roman" w:hAnsi="Times New Roman"/>
                <w:sz w:val="18"/>
                <w:szCs w:val="18"/>
                <w:color w:val="auto"/>
                <w:w w:val="97"/>
              </w:rPr>
              <w:t>316,289,675</w:t>
            </w:r>
          </w:p>
        </w:tc>
        <w:tc>
          <w:tcPr>
            <w:tcW w:w="2800" w:type="dxa"/>
            <w:vAlign w:val="bottom"/>
            <w:gridSpan w:val="3"/>
          </w:tcPr>
          <w:p>
            <w:pPr>
              <w:jc w:val="right"/>
              <w:ind w:right="1080"/>
              <w:spacing w:after="0"/>
              <w:rPr>
                <w:sz w:val="20"/>
                <w:szCs w:val="20"/>
                <w:color w:val="auto"/>
              </w:rPr>
            </w:pPr>
            <w:r>
              <w:rPr>
                <w:rFonts w:ascii="Times New Roman" w:cs="Times New Roman" w:eastAsia="Times New Roman" w:hAnsi="Times New Roman"/>
                <w:sz w:val="18"/>
                <w:szCs w:val="18"/>
                <w:color w:val="auto"/>
              </w:rPr>
              <w:t>5,212,943</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71,589</w:t>
            </w:r>
          </w:p>
        </w:tc>
        <w:tc>
          <w:tcPr>
            <w:tcW w:w="1860" w:type="dxa"/>
            <w:vAlign w:val="bottom"/>
          </w:tcPr>
          <w:p>
            <w:pPr>
              <w:spacing w:after="0"/>
              <w:rPr>
                <w:sz w:val="24"/>
                <w:szCs w:val="24"/>
                <w:color w:val="auto"/>
              </w:rPr>
            </w:pP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6,902,949</w:t>
            </w:r>
          </w:p>
        </w:tc>
      </w:tr>
    </w:tbl>
    <w:p>
      <w:pPr>
        <w:spacing w:after="0" w:line="200" w:lineRule="exact"/>
        <w:rPr>
          <w:sz w:val="20"/>
          <w:szCs w:val="20"/>
          <w:color w:val="auto"/>
        </w:rPr>
      </w:pPr>
    </w:p>
    <w:p>
      <w:pPr>
        <w:sectPr>
          <w:pgSz w:w="11900" w:h="16838" w:orient="portrait"/>
          <w:cols w:equalWidth="0" w:num="1">
            <w:col w:w="11220"/>
          </w:cols>
          <w:pgMar w:left="320" w:top="981" w:right="359" w:bottom="947" w:gutter="0" w:footer="0" w:header="0"/>
        </w:sect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item, other than the four proposals addressed above and described in the Proxy Statement, was submitted at the Annual Meeting for stockholder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947"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 Exhibits</w:t>
            </w:r>
          </w:p>
        </w:tc>
        <w:tc>
          <w:tcPr>
            <w:tcW w:w="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5080" w:type="dxa"/>
            <w:vAlign w:val="bottom"/>
          </w:tcPr>
          <w:p>
            <w:pPr>
              <w:spacing w:after="0"/>
              <w:rPr>
                <w:sz w:val="20"/>
                <w:szCs w:val="20"/>
                <w:color w:val="auto"/>
              </w:rPr>
            </w:pPr>
          </w:p>
        </w:tc>
      </w:tr>
      <w:tr>
        <w:trPr>
          <w:trHeight w:val="270"/>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Number</w:t>
            </w:r>
          </w:p>
        </w:tc>
        <w:tc>
          <w:tcPr>
            <w:tcW w:w="20" w:type="dxa"/>
            <w:vAlign w:val="bottom"/>
          </w:tcPr>
          <w:p>
            <w:pPr>
              <w:spacing w:after="0"/>
              <w:rPr>
                <w:sz w:val="23"/>
                <w:szCs w:val="23"/>
                <w:color w:val="auto"/>
              </w:rPr>
            </w:pPr>
          </w:p>
        </w:tc>
        <w:tc>
          <w:tcPr>
            <w:tcW w:w="9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7"/>
        </w:trPr>
        <w:tc>
          <w:tcPr>
            <w:tcW w:w="1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5080" w:type="dxa"/>
            <w:vAlign w:val="bottom"/>
            <w:tcBorders>
              <w:bottom w:val="single" w:sz="8" w:color="auto"/>
            </w:tcBorders>
          </w:tcPr>
          <w:p>
            <w:pPr>
              <w:spacing w:after="0"/>
              <w:rPr>
                <w:sz w:val="2"/>
                <w:szCs w:val="2"/>
                <w:color w:val="auto"/>
              </w:rPr>
            </w:pPr>
          </w:p>
        </w:tc>
      </w:tr>
      <w:tr>
        <w:trPr>
          <w:trHeight w:val="344"/>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Globus Medical, Inc. 2021 Equity Incentive Plan, as amended</w:t>
            </w:r>
          </w:p>
        </w:tc>
      </w:tr>
      <w:tr>
        <w:trPr>
          <w:trHeight w:val="20"/>
        </w:trPr>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60" w:type="dxa"/>
            <w:vAlign w:val="bottom"/>
            <w:shd w:val="clear" w:color="auto" w:fill="0000FF"/>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r>
      <w:tr>
        <w:trPr>
          <w:trHeight w:val="291"/>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cover page from this Current Report on Form 8-K, formatted as Inline XBRL.</w:t>
            </w:r>
          </w:p>
        </w:tc>
      </w:tr>
      <w:tr>
        <w:trPr>
          <w:trHeight w:val="1222"/>
        </w:trPr>
        <w:tc>
          <w:tcPr>
            <w:tcW w:w="16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u w:val="single" w:color="auto"/>
          <w:color w:val="auto"/>
        </w:rPr>
        <w:t>GLOBUS MEDICAL, INC.</w:t>
      </w:r>
    </w:p>
    <w:p>
      <w:pPr>
        <w:spacing w:after="0" w:line="6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(Registrant)</w:t>
      </w:r>
    </w:p>
    <w:p>
      <w:pPr>
        <w:spacing w:after="0" w:line="221" w:lineRule="exact"/>
        <w:rPr>
          <w:sz w:val="20"/>
          <w:szCs w:val="20"/>
          <w:color w:val="auto"/>
        </w:rPr>
      </w:pPr>
    </w:p>
    <w:p>
      <w:pPr>
        <w:ind w:left="20"/>
        <w:spacing w:after="0"/>
        <w:tabs>
          <w:tab w:leader="none" w:pos="900" w:val="left"/>
          <w:tab w:leader="none" w:pos="488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June 4, 2026</w:t>
      </w:r>
      <w:r>
        <w:rPr>
          <w:sz w:val="20"/>
          <w:szCs w:val="20"/>
          <w:color w:val="auto"/>
        </w:rPr>
        <w:tab/>
      </w:r>
      <w:r>
        <w:rPr>
          <w:rFonts w:ascii="Times New Roman" w:cs="Times New Roman" w:eastAsia="Times New Roman" w:hAnsi="Times New Roman"/>
          <w:sz w:val="17"/>
          <w:szCs w:val="17"/>
          <w:b w:val="1"/>
          <w:bCs w:val="1"/>
          <w:u w:val="single" w:color="auto"/>
          <w:color w:val="auto"/>
        </w:rPr>
        <w:t>/s/ KELLY G. HULLER</w:t>
      </w:r>
    </w:p>
    <w:p>
      <w:pPr>
        <w:spacing w:after="0" w:line="22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Kelly G. Huller</w:t>
      </w:r>
    </w:p>
    <w:p>
      <w:pPr>
        <w:spacing w:after="0" w:line="6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p>
      <w:pPr>
        <w:sectPr>
          <w:pgSz w:w="11900" w:h="16838" w:orient="portrait"/>
          <w:cols w:equalWidth="0" w:num="1">
            <w:col w:w="10340"/>
          </w:cols>
          <w:pgMar w:left="320" w:top="1143" w:right="12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2021 EQUITY INCENTIVE PLAN, AS AMENDED</w:t>
      </w:r>
    </w:p>
    <w:p>
      <w:pPr>
        <w:sectPr>
          <w:pgSz w:w="11900" w:h="16838" w:orient="portrait"/>
          <w:cols w:equalWidth="0" w:num="1">
            <w:col w:w="9019"/>
          </w:cols>
          <w:pgMar w:left="1440" w:top="1431"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62"/>
        </w:trPr>
        <w:tc>
          <w:tcPr>
            <w:tcW w:w="1140" w:type="dxa"/>
            <w:vAlign w:val="bottom"/>
          </w:tcPr>
          <w:p>
            <w:pPr>
              <w:spacing w:after="0"/>
              <w:rPr>
                <w:sz w:val="22"/>
                <w:szCs w:val="22"/>
                <w:color w:val="auto"/>
              </w:rPr>
            </w:pPr>
          </w:p>
        </w:tc>
        <w:tc>
          <w:tcPr>
            <w:tcW w:w="7540" w:type="dxa"/>
            <w:vAlign w:val="bottom"/>
          </w:tcPr>
          <w:p>
            <w:pPr>
              <w:ind w:left="340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2380" w:type="dxa"/>
            <w:vAlign w:val="bottom"/>
          </w:tcPr>
          <w:p>
            <w:pPr>
              <w:spacing w:after="0"/>
              <w:rPr>
                <w:sz w:val="22"/>
                <w:szCs w:val="22"/>
                <w:color w:val="auto"/>
              </w:rPr>
            </w:pPr>
          </w:p>
        </w:tc>
      </w:tr>
      <w:tr>
        <w:trPr>
          <w:trHeight w:val="297"/>
        </w:trPr>
        <w:tc>
          <w:tcPr>
            <w:tcW w:w="114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2380" w:type="dxa"/>
            <w:vAlign w:val="bottom"/>
          </w:tcPr>
          <w:p>
            <w:pPr>
              <w:jc w:val="center"/>
              <w:ind w:left="1901"/>
              <w:spacing w:after="0"/>
              <w:rPr>
                <w:sz w:val="20"/>
                <w:szCs w:val="20"/>
                <w:color w:val="auto"/>
              </w:rPr>
            </w:pPr>
            <w:r>
              <w:rPr>
                <w:rFonts w:ascii="Times New Roman" w:cs="Times New Roman" w:eastAsia="Times New Roman" w:hAnsi="Times New Roman"/>
                <w:sz w:val="20"/>
                <w:szCs w:val="20"/>
                <w:color w:val="auto"/>
                <w:w w:val="97"/>
              </w:rPr>
              <w:t>Page</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ARTICLE 1.</w:t>
            </w:r>
          </w:p>
        </w:tc>
        <w:tc>
          <w:tcPr>
            <w:tcW w:w="75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PURPOSE</w:t>
            </w:r>
          </w:p>
        </w:tc>
        <w:tc>
          <w:tcPr>
            <w:tcW w:w="2380" w:type="dxa"/>
            <w:vAlign w:val="bottom"/>
          </w:tcPr>
          <w:p>
            <w:pPr>
              <w:jc w:val="center"/>
              <w:ind w:left="1901"/>
              <w:spacing w:after="0"/>
              <w:rPr>
                <w:sz w:val="20"/>
                <w:szCs w:val="20"/>
                <w:color w:val="auto"/>
              </w:rPr>
            </w:pPr>
            <w:r>
              <w:rPr>
                <w:rFonts w:ascii="Times New Roman" w:cs="Times New Roman" w:eastAsia="Times New Roman" w:hAnsi="Times New Roman"/>
                <w:sz w:val="20"/>
                <w:szCs w:val="20"/>
                <w:color w:val="auto"/>
                <w:w w:val="99"/>
              </w:rPr>
              <w:t>5</w:t>
            </w:r>
          </w:p>
        </w:tc>
      </w:tr>
      <w:tr>
        <w:trPr>
          <w:trHeight w:val="351"/>
        </w:trPr>
        <w:tc>
          <w:tcPr>
            <w:tcW w:w="8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2.   DEFINITIONS AND CONSTRUCTION</w:t>
            </w:r>
          </w:p>
        </w:tc>
        <w:tc>
          <w:tcPr>
            <w:tcW w:w="2380" w:type="dxa"/>
            <w:vAlign w:val="bottom"/>
          </w:tcPr>
          <w:p>
            <w:pPr>
              <w:jc w:val="center"/>
              <w:ind w:left="1901"/>
              <w:spacing w:after="0"/>
              <w:rPr>
                <w:sz w:val="20"/>
                <w:szCs w:val="20"/>
                <w:color w:val="auto"/>
              </w:rPr>
            </w:pPr>
            <w:r>
              <w:rPr>
                <w:rFonts w:ascii="Times New Roman" w:cs="Times New Roman" w:eastAsia="Times New Roman" w:hAnsi="Times New Roman"/>
                <w:sz w:val="20"/>
                <w:szCs w:val="20"/>
                <w:color w:val="auto"/>
                <w:w w:val="99"/>
              </w:rPr>
              <w:t>5</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2.1</w:t>
            </w:r>
          </w:p>
        </w:tc>
        <w:tc>
          <w:tcPr>
            <w:tcW w:w="75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“Administrator”</w:t>
            </w:r>
          </w:p>
        </w:tc>
        <w:tc>
          <w:tcPr>
            <w:tcW w:w="2380" w:type="dxa"/>
            <w:vAlign w:val="bottom"/>
          </w:tcPr>
          <w:p>
            <w:pPr>
              <w:jc w:val="center"/>
              <w:ind w:left="1901"/>
              <w:spacing w:after="0"/>
              <w:rPr>
                <w:sz w:val="20"/>
                <w:szCs w:val="20"/>
                <w:color w:val="auto"/>
              </w:rPr>
            </w:pPr>
            <w:r>
              <w:rPr>
                <w:rFonts w:ascii="Times New Roman" w:cs="Times New Roman" w:eastAsia="Times New Roman" w:hAnsi="Times New Roman"/>
                <w:sz w:val="20"/>
                <w:szCs w:val="20"/>
                <w:color w:val="auto"/>
                <w:w w:val="99"/>
              </w:rPr>
              <w:t>5</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2.2</w:t>
            </w:r>
          </w:p>
        </w:tc>
        <w:tc>
          <w:tcPr>
            <w:tcW w:w="75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“Applicable Accounting Standards”</w:t>
            </w:r>
          </w:p>
        </w:tc>
        <w:tc>
          <w:tcPr>
            <w:tcW w:w="2380" w:type="dxa"/>
            <w:vAlign w:val="bottom"/>
          </w:tcPr>
          <w:p>
            <w:pPr>
              <w:jc w:val="center"/>
              <w:ind w:left="1901"/>
              <w:spacing w:after="0"/>
              <w:rPr>
                <w:sz w:val="20"/>
                <w:szCs w:val="20"/>
                <w:color w:val="auto"/>
              </w:rPr>
            </w:pPr>
            <w:r>
              <w:rPr>
                <w:rFonts w:ascii="Times New Roman" w:cs="Times New Roman" w:eastAsia="Times New Roman" w:hAnsi="Times New Roman"/>
                <w:sz w:val="20"/>
                <w:szCs w:val="20"/>
                <w:color w:val="auto"/>
                <w:w w:val="99"/>
              </w:rPr>
              <w:t>5</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2.3</w:t>
            </w:r>
          </w:p>
        </w:tc>
        <w:tc>
          <w:tcPr>
            <w:tcW w:w="75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“Applicable Law”</w:t>
            </w:r>
          </w:p>
        </w:tc>
        <w:tc>
          <w:tcPr>
            <w:tcW w:w="2380" w:type="dxa"/>
            <w:vAlign w:val="bottom"/>
          </w:tcPr>
          <w:p>
            <w:pPr>
              <w:jc w:val="center"/>
              <w:ind w:left="1901"/>
              <w:spacing w:after="0"/>
              <w:rPr>
                <w:sz w:val="20"/>
                <w:szCs w:val="20"/>
                <w:color w:val="auto"/>
              </w:rPr>
            </w:pPr>
            <w:r>
              <w:rPr>
                <w:rFonts w:ascii="Times New Roman" w:cs="Times New Roman" w:eastAsia="Times New Roman" w:hAnsi="Times New Roman"/>
                <w:sz w:val="20"/>
                <w:szCs w:val="20"/>
                <w:color w:val="auto"/>
                <w:w w:val="99"/>
              </w:rPr>
              <w:t>5</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2.4</w:t>
            </w:r>
          </w:p>
        </w:tc>
        <w:tc>
          <w:tcPr>
            <w:tcW w:w="75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“Award”</w:t>
            </w:r>
          </w:p>
        </w:tc>
        <w:tc>
          <w:tcPr>
            <w:tcW w:w="2380" w:type="dxa"/>
            <w:vAlign w:val="bottom"/>
          </w:tcPr>
          <w:p>
            <w:pPr>
              <w:jc w:val="center"/>
              <w:ind w:left="1901"/>
              <w:spacing w:after="0"/>
              <w:rPr>
                <w:sz w:val="20"/>
                <w:szCs w:val="20"/>
                <w:color w:val="auto"/>
              </w:rPr>
            </w:pPr>
            <w:r>
              <w:rPr>
                <w:rFonts w:ascii="Times New Roman" w:cs="Times New Roman" w:eastAsia="Times New Roman" w:hAnsi="Times New Roman"/>
                <w:sz w:val="20"/>
                <w:szCs w:val="20"/>
                <w:color w:val="auto"/>
                <w:w w:val="99"/>
              </w:rPr>
              <w:t>5</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2.5</w:t>
            </w:r>
          </w:p>
        </w:tc>
        <w:tc>
          <w:tcPr>
            <w:tcW w:w="75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“Award Agreement”</w:t>
            </w:r>
          </w:p>
        </w:tc>
        <w:tc>
          <w:tcPr>
            <w:tcW w:w="2380" w:type="dxa"/>
            <w:vAlign w:val="bottom"/>
          </w:tcPr>
          <w:p>
            <w:pPr>
              <w:jc w:val="center"/>
              <w:ind w:left="1901"/>
              <w:spacing w:after="0"/>
              <w:rPr>
                <w:sz w:val="20"/>
                <w:szCs w:val="20"/>
                <w:color w:val="auto"/>
              </w:rPr>
            </w:pPr>
            <w:r>
              <w:rPr>
                <w:rFonts w:ascii="Times New Roman" w:cs="Times New Roman" w:eastAsia="Times New Roman" w:hAnsi="Times New Roman"/>
                <w:sz w:val="20"/>
                <w:szCs w:val="20"/>
                <w:color w:val="auto"/>
                <w:w w:val="99"/>
              </w:rPr>
              <w:t>5</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2.6</w:t>
            </w:r>
          </w:p>
        </w:tc>
        <w:tc>
          <w:tcPr>
            <w:tcW w:w="75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“Board”</w:t>
            </w:r>
          </w:p>
        </w:tc>
        <w:tc>
          <w:tcPr>
            <w:tcW w:w="2380" w:type="dxa"/>
            <w:vAlign w:val="bottom"/>
          </w:tcPr>
          <w:p>
            <w:pPr>
              <w:jc w:val="center"/>
              <w:ind w:left="1901"/>
              <w:spacing w:after="0"/>
              <w:rPr>
                <w:sz w:val="20"/>
                <w:szCs w:val="20"/>
                <w:color w:val="auto"/>
              </w:rPr>
            </w:pPr>
            <w:r>
              <w:rPr>
                <w:rFonts w:ascii="Times New Roman" w:cs="Times New Roman" w:eastAsia="Times New Roman" w:hAnsi="Times New Roman"/>
                <w:sz w:val="20"/>
                <w:szCs w:val="20"/>
                <w:color w:val="auto"/>
                <w:w w:val="99"/>
              </w:rPr>
              <w:t>5</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2.7</w:t>
            </w:r>
          </w:p>
        </w:tc>
        <w:tc>
          <w:tcPr>
            <w:tcW w:w="75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“Change in Control”</w:t>
            </w:r>
          </w:p>
        </w:tc>
        <w:tc>
          <w:tcPr>
            <w:tcW w:w="2380" w:type="dxa"/>
            <w:vAlign w:val="bottom"/>
          </w:tcPr>
          <w:p>
            <w:pPr>
              <w:jc w:val="center"/>
              <w:ind w:left="1901"/>
              <w:spacing w:after="0"/>
              <w:rPr>
                <w:sz w:val="20"/>
                <w:szCs w:val="20"/>
                <w:color w:val="auto"/>
              </w:rPr>
            </w:pPr>
            <w:r>
              <w:rPr>
                <w:rFonts w:ascii="Times New Roman" w:cs="Times New Roman" w:eastAsia="Times New Roman" w:hAnsi="Times New Roman"/>
                <w:sz w:val="20"/>
                <w:szCs w:val="20"/>
                <w:color w:val="auto"/>
                <w:w w:val="99"/>
              </w:rPr>
              <w:t>5</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2.8</w:t>
            </w:r>
          </w:p>
        </w:tc>
        <w:tc>
          <w:tcPr>
            <w:tcW w:w="75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“Code”</w:t>
            </w:r>
          </w:p>
        </w:tc>
        <w:tc>
          <w:tcPr>
            <w:tcW w:w="2380" w:type="dxa"/>
            <w:vAlign w:val="bottom"/>
          </w:tcPr>
          <w:p>
            <w:pPr>
              <w:jc w:val="center"/>
              <w:ind w:left="1901"/>
              <w:spacing w:after="0"/>
              <w:rPr>
                <w:sz w:val="20"/>
                <w:szCs w:val="20"/>
                <w:color w:val="auto"/>
              </w:rPr>
            </w:pPr>
            <w:r>
              <w:rPr>
                <w:rFonts w:ascii="Times New Roman" w:cs="Times New Roman" w:eastAsia="Times New Roman" w:hAnsi="Times New Roman"/>
                <w:sz w:val="20"/>
                <w:szCs w:val="20"/>
                <w:color w:val="auto"/>
                <w:w w:val="99"/>
              </w:rPr>
              <w:t>6</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2.9</w:t>
            </w:r>
          </w:p>
        </w:tc>
        <w:tc>
          <w:tcPr>
            <w:tcW w:w="75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“Committee”</w:t>
            </w:r>
          </w:p>
        </w:tc>
        <w:tc>
          <w:tcPr>
            <w:tcW w:w="2380" w:type="dxa"/>
            <w:vAlign w:val="bottom"/>
          </w:tcPr>
          <w:p>
            <w:pPr>
              <w:jc w:val="center"/>
              <w:ind w:left="1901"/>
              <w:spacing w:after="0"/>
              <w:rPr>
                <w:sz w:val="20"/>
                <w:szCs w:val="20"/>
                <w:color w:val="auto"/>
              </w:rPr>
            </w:pPr>
            <w:r>
              <w:rPr>
                <w:rFonts w:ascii="Times New Roman" w:cs="Times New Roman" w:eastAsia="Times New Roman" w:hAnsi="Times New Roman"/>
                <w:sz w:val="20"/>
                <w:szCs w:val="20"/>
                <w:color w:val="auto"/>
                <w:w w:val="99"/>
              </w:rPr>
              <w:t>6</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2.10</w:t>
            </w:r>
          </w:p>
        </w:tc>
        <w:tc>
          <w:tcPr>
            <w:tcW w:w="75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“Common Stock”</w:t>
            </w:r>
          </w:p>
        </w:tc>
        <w:tc>
          <w:tcPr>
            <w:tcW w:w="2380" w:type="dxa"/>
            <w:vAlign w:val="bottom"/>
          </w:tcPr>
          <w:p>
            <w:pPr>
              <w:jc w:val="center"/>
              <w:ind w:left="1901"/>
              <w:spacing w:after="0"/>
              <w:rPr>
                <w:sz w:val="20"/>
                <w:szCs w:val="20"/>
                <w:color w:val="auto"/>
              </w:rPr>
            </w:pPr>
            <w:r>
              <w:rPr>
                <w:rFonts w:ascii="Times New Roman" w:cs="Times New Roman" w:eastAsia="Times New Roman" w:hAnsi="Times New Roman"/>
                <w:sz w:val="20"/>
                <w:szCs w:val="20"/>
                <w:color w:val="auto"/>
                <w:w w:val="99"/>
              </w:rPr>
              <w:t>6</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2.11</w:t>
            </w:r>
          </w:p>
        </w:tc>
        <w:tc>
          <w:tcPr>
            <w:tcW w:w="75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“Company”</w:t>
            </w:r>
          </w:p>
        </w:tc>
        <w:tc>
          <w:tcPr>
            <w:tcW w:w="2380" w:type="dxa"/>
            <w:vAlign w:val="bottom"/>
          </w:tcPr>
          <w:p>
            <w:pPr>
              <w:jc w:val="center"/>
              <w:ind w:left="1901"/>
              <w:spacing w:after="0"/>
              <w:rPr>
                <w:sz w:val="20"/>
                <w:szCs w:val="20"/>
                <w:color w:val="auto"/>
              </w:rPr>
            </w:pPr>
            <w:r>
              <w:rPr>
                <w:rFonts w:ascii="Times New Roman" w:cs="Times New Roman" w:eastAsia="Times New Roman" w:hAnsi="Times New Roman"/>
                <w:sz w:val="20"/>
                <w:szCs w:val="20"/>
                <w:color w:val="auto"/>
                <w:w w:val="99"/>
              </w:rPr>
              <w:t>6</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2.12</w:t>
            </w:r>
          </w:p>
        </w:tc>
        <w:tc>
          <w:tcPr>
            <w:tcW w:w="75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“Consultant”</w:t>
            </w:r>
          </w:p>
        </w:tc>
        <w:tc>
          <w:tcPr>
            <w:tcW w:w="2380" w:type="dxa"/>
            <w:vAlign w:val="bottom"/>
          </w:tcPr>
          <w:p>
            <w:pPr>
              <w:jc w:val="center"/>
              <w:ind w:left="1901"/>
              <w:spacing w:after="0"/>
              <w:rPr>
                <w:sz w:val="20"/>
                <w:szCs w:val="20"/>
                <w:color w:val="auto"/>
              </w:rPr>
            </w:pPr>
            <w:r>
              <w:rPr>
                <w:rFonts w:ascii="Times New Roman" w:cs="Times New Roman" w:eastAsia="Times New Roman" w:hAnsi="Times New Roman"/>
                <w:sz w:val="20"/>
                <w:szCs w:val="20"/>
                <w:color w:val="auto"/>
                <w:w w:val="99"/>
              </w:rPr>
              <w:t>6</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2.13</w:t>
            </w:r>
          </w:p>
        </w:tc>
        <w:tc>
          <w:tcPr>
            <w:tcW w:w="75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“Director”</w:t>
            </w:r>
          </w:p>
        </w:tc>
        <w:tc>
          <w:tcPr>
            <w:tcW w:w="2380" w:type="dxa"/>
            <w:vAlign w:val="bottom"/>
          </w:tcPr>
          <w:p>
            <w:pPr>
              <w:jc w:val="center"/>
              <w:ind w:left="1901"/>
              <w:spacing w:after="0"/>
              <w:rPr>
                <w:sz w:val="20"/>
                <w:szCs w:val="20"/>
                <w:color w:val="auto"/>
              </w:rPr>
            </w:pPr>
            <w:r>
              <w:rPr>
                <w:rFonts w:ascii="Times New Roman" w:cs="Times New Roman" w:eastAsia="Times New Roman" w:hAnsi="Times New Roman"/>
                <w:sz w:val="20"/>
                <w:szCs w:val="20"/>
                <w:color w:val="auto"/>
                <w:w w:val="99"/>
              </w:rPr>
              <w:t>6</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2.14</w:t>
            </w:r>
          </w:p>
        </w:tc>
        <w:tc>
          <w:tcPr>
            <w:tcW w:w="75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“Disability”</w:t>
            </w:r>
          </w:p>
        </w:tc>
        <w:tc>
          <w:tcPr>
            <w:tcW w:w="2380" w:type="dxa"/>
            <w:vAlign w:val="bottom"/>
          </w:tcPr>
          <w:p>
            <w:pPr>
              <w:jc w:val="center"/>
              <w:ind w:left="1901"/>
              <w:spacing w:after="0"/>
              <w:rPr>
                <w:sz w:val="20"/>
                <w:szCs w:val="20"/>
                <w:color w:val="auto"/>
              </w:rPr>
            </w:pPr>
            <w:r>
              <w:rPr>
                <w:rFonts w:ascii="Times New Roman" w:cs="Times New Roman" w:eastAsia="Times New Roman" w:hAnsi="Times New Roman"/>
                <w:sz w:val="20"/>
                <w:szCs w:val="20"/>
                <w:color w:val="auto"/>
                <w:w w:val="99"/>
              </w:rPr>
              <w:t>7</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2.15</w:t>
            </w:r>
          </w:p>
        </w:tc>
        <w:tc>
          <w:tcPr>
            <w:tcW w:w="75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“DRO”</w:t>
            </w:r>
          </w:p>
        </w:tc>
        <w:tc>
          <w:tcPr>
            <w:tcW w:w="2380" w:type="dxa"/>
            <w:vAlign w:val="bottom"/>
          </w:tcPr>
          <w:p>
            <w:pPr>
              <w:jc w:val="center"/>
              <w:ind w:left="1901"/>
              <w:spacing w:after="0"/>
              <w:rPr>
                <w:sz w:val="20"/>
                <w:szCs w:val="20"/>
                <w:color w:val="auto"/>
              </w:rPr>
            </w:pPr>
            <w:r>
              <w:rPr>
                <w:rFonts w:ascii="Times New Roman" w:cs="Times New Roman" w:eastAsia="Times New Roman" w:hAnsi="Times New Roman"/>
                <w:sz w:val="20"/>
                <w:szCs w:val="20"/>
                <w:color w:val="auto"/>
                <w:w w:val="99"/>
              </w:rPr>
              <w:t>7</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2.16</w:t>
            </w:r>
          </w:p>
        </w:tc>
        <w:tc>
          <w:tcPr>
            <w:tcW w:w="75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“Effective Date”</w:t>
            </w:r>
          </w:p>
        </w:tc>
        <w:tc>
          <w:tcPr>
            <w:tcW w:w="2380" w:type="dxa"/>
            <w:vAlign w:val="bottom"/>
          </w:tcPr>
          <w:p>
            <w:pPr>
              <w:jc w:val="center"/>
              <w:ind w:left="1901"/>
              <w:spacing w:after="0"/>
              <w:rPr>
                <w:sz w:val="20"/>
                <w:szCs w:val="20"/>
                <w:color w:val="auto"/>
              </w:rPr>
            </w:pPr>
            <w:r>
              <w:rPr>
                <w:rFonts w:ascii="Times New Roman" w:cs="Times New Roman" w:eastAsia="Times New Roman" w:hAnsi="Times New Roman"/>
                <w:sz w:val="20"/>
                <w:szCs w:val="20"/>
                <w:color w:val="auto"/>
                <w:w w:val="99"/>
              </w:rPr>
              <w:t>7</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2.17</w:t>
            </w:r>
          </w:p>
        </w:tc>
        <w:tc>
          <w:tcPr>
            <w:tcW w:w="75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“Eligible Individual”</w:t>
            </w:r>
          </w:p>
        </w:tc>
        <w:tc>
          <w:tcPr>
            <w:tcW w:w="2380" w:type="dxa"/>
            <w:vAlign w:val="bottom"/>
          </w:tcPr>
          <w:p>
            <w:pPr>
              <w:jc w:val="center"/>
              <w:ind w:left="1901"/>
              <w:spacing w:after="0"/>
              <w:rPr>
                <w:sz w:val="20"/>
                <w:szCs w:val="20"/>
                <w:color w:val="auto"/>
              </w:rPr>
            </w:pPr>
            <w:r>
              <w:rPr>
                <w:rFonts w:ascii="Times New Roman" w:cs="Times New Roman" w:eastAsia="Times New Roman" w:hAnsi="Times New Roman"/>
                <w:sz w:val="20"/>
                <w:szCs w:val="20"/>
                <w:color w:val="auto"/>
                <w:w w:val="99"/>
              </w:rPr>
              <w:t>7</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2.18</w:t>
            </w:r>
          </w:p>
        </w:tc>
        <w:tc>
          <w:tcPr>
            <w:tcW w:w="75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“Employee”</w:t>
            </w:r>
          </w:p>
        </w:tc>
        <w:tc>
          <w:tcPr>
            <w:tcW w:w="2380" w:type="dxa"/>
            <w:vAlign w:val="bottom"/>
          </w:tcPr>
          <w:p>
            <w:pPr>
              <w:jc w:val="center"/>
              <w:ind w:left="1901"/>
              <w:spacing w:after="0"/>
              <w:rPr>
                <w:sz w:val="20"/>
                <w:szCs w:val="20"/>
                <w:color w:val="auto"/>
              </w:rPr>
            </w:pPr>
            <w:r>
              <w:rPr>
                <w:rFonts w:ascii="Times New Roman" w:cs="Times New Roman" w:eastAsia="Times New Roman" w:hAnsi="Times New Roman"/>
                <w:sz w:val="20"/>
                <w:szCs w:val="20"/>
                <w:color w:val="auto"/>
                <w:w w:val="99"/>
              </w:rPr>
              <w:t>7</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2.19</w:t>
            </w:r>
          </w:p>
        </w:tc>
        <w:tc>
          <w:tcPr>
            <w:tcW w:w="75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“Exchange Act”</w:t>
            </w:r>
          </w:p>
        </w:tc>
        <w:tc>
          <w:tcPr>
            <w:tcW w:w="2380" w:type="dxa"/>
            <w:vAlign w:val="bottom"/>
          </w:tcPr>
          <w:p>
            <w:pPr>
              <w:jc w:val="center"/>
              <w:ind w:left="1901"/>
              <w:spacing w:after="0"/>
              <w:rPr>
                <w:sz w:val="20"/>
                <w:szCs w:val="20"/>
                <w:color w:val="auto"/>
              </w:rPr>
            </w:pPr>
            <w:r>
              <w:rPr>
                <w:rFonts w:ascii="Times New Roman" w:cs="Times New Roman" w:eastAsia="Times New Roman" w:hAnsi="Times New Roman"/>
                <w:sz w:val="20"/>
                <w:szCs w:val="20"/>
                <w:color w:val="auto"/>
                <w:w w:val="99"/>
              </w:rPr>
              <w:t>7</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2.20</w:t>
            </w:r>
          </w:p>
        </w:tc>
        <w:tc>
          <w:tcPr>
            <w:tcW w:w="75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“Expiration Date”</w:t>
            </w:r>
          </w:p>
        </w:tc>
        <w:tc>
          <w:tcPr>
            <w:tcW w:w="2380" w:type="dxa"/>
            <w:vAlign w:val="bottom"/>
          </w:tcPr>
          <w:p>
            <w:pPr>
              <w:jc w:val="center"/>
              <w:ind w:left="1901"/>
              <w:spacing w:after="0"/>
              <w:rPr>
                <w:sz w:val="20"/>
                <w:szCs w:val="20"/>
                <w:color w:val="auto"/>
              </w:rPr>
            </w:pPr>
            <w:r>
              <w:rPr>
                <w:rFonts w:ascii="Times New Roman" w:cs="Times New Roman" w:eastAsia="Times New Roman" w:hAnsi="Times New Roman"/>
                <w:sz w:val="20"/>
                <w:szCs w:val="20"/>
                <w:color w:val="auto"/>
                <w:w w:val="99"/>
              </w:rPr>
              <w:t>7</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2.21</w:t>
            </w:r>
          </w:p>
        </w:tc>
        <w:tc>
          <w:tcPr>
            <w:tcW w:w="75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“Fair Market Value”</w:t>
            </w:r>
          </w:p>
        </w:tc>
        <w:tc>
          <w:tcPr>
            <w:tcW w:w="2380" w:type="dxa"/>
            <w:vAlign w:val="bottom"/>
          </w:tcPr>
          <w:p>
            <w:pPr>
              <w:jc w:val="center"/>
              <w:ind w:left="1901"/>
              <w:spacing w:after="0"/>
              <w:rPr>
                <w:sz w:val="20"/>
                <w:szCs w:val="20"/>
                <w:color w:val="auto"/>
              </w:rPr>
            </w:pPr>
            <w:r>
              <w:rPr>
                <w:rFonts w:ascii="Times New Roman" w:cs="Times New Roman" w:eastAsia="Times New Roman" w:hAnsi="Times New Roman"/>
                <w:sz w:val="20"/>
                <w:szCs w:val="20"/>
                <w:color w:val="auto"/>
                <w:w w:val="99"/>
              </w:rPr>
              <w:t>7</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2.22</w:t>
            </w:r>
          </w:p>
        </w:tc>
        <w:tc>
          <w:tcPr>
            <w:tcW w:w="75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“Greater Than 10% Stockholder”</w:t>
            </w:r>
          </w:p>
        </w:tc>
        <w:tc>
          <w:tcPr>
            <w:tcW w:w="2380" w:type="dxa"/>
            <w:vAlign w:val="bottom"/>
          </w:tcPr>
          <w:p>
            <w:pPr>
              <w:jc w:val="center"/>
              <w:ind w:left="1901"/>
              <w:spacing w:after="0"/>
              <w:rPr>
                <w:sz w:val="20"/>
                <w:szCs w:val="20"/>
                <w:color w:val="auto"/>
              </w:rPr>
            </w:pPr>
            <w:r>
              <w:rPr>
                <w:rFonts w:ascii="Times New Roman" w:cs="Times New Roman" w:eastAsia="Times New Roman" w:hAnsi="Times New Roman"/>
                <w:sz w:val="20"/>
                <w:szCs w:val="20"/>
                <w:color w:val="auto"/>
                <w:w w:val="99"/>
              </w:rPr>
              <w:t>7</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2.23</w:t>
            </w:r>
          </w:p>
        </w:tc>
        <w:tc>
          <w:tcPr>
            <w:tcW w:w="75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“Holder”</w:t>
            </w:r>
          </w:p>
        </w:tc>
        <w:tc>
          <w:tcPr>
            <w:tcW w:w="2380" w:type="dxa"/>
            <w:vAlign w:val="bottom"/>
          </w:tcPr>
          <w:p>
            <w:pPr>
              <w:jc w:val="center"/>
              <w:ind w:left="1901"/>
              <w:spacing w:after="0"/>
              <w:rPr>
                <w:sz w:val="20"/>
                <w:szCs w:val="20"/>
                <w:color w:val="auto"/>
              </w:rPr>
            </w:pPr>
            <w:r>
              <w:rPr>
                <w:rFonts w:ascii="Times New Roman" w:cs="Times New Roman" w:eastAsia="Times New Roman" w:hAnsi="Times New Roman"/>
                <w:sz w:val="20"/>
                <w:szCs w:val="20"/>
                <w:color w:val="auto"/>
                <w:w w:val="99"/>
              </w:rPr>
              <w:t>7</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2.24</w:t>
            </w:r>
          </w:p>
        </w:tc>
        <w:tc>
          <w:tcPr>
            <w:tcW w:w="75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“Incentive Stock Option”</w:t>
            </w:r>
          </w:p>
        </w:tc>
        <w:tc>
          <w:tcPr>
            <w:tcW w:w="2380" w:type="dxa"/>
            <w:vAlign w:val="bottom"/>
          </w:tcPr>
          <w:p>
            <w:pPr>
              <w:jc w:val="center"/>
              <w:ind w:left="1901"/>
              <w:spacing w:after="0"/>
              <w:rPr>
                <w:sz w:val="20"/>
                <w:szCs w:val="20"/>
                <w:color w:val="auto"/>
              </w:rPr>
            </w:pPr>
            <w:r>
              <w:rPr>
                <w:rFonts w:ascii="Times New Roman" w:cs="Times New Roman" w:eastAsia="Times New Roman" w:hAnsi="Times New Roman"/>
                <w:sz w:val="20"/>
                <w:szCs w:val="20"/>
                <w:color w:val="auto"/>
                <w:w w:val="99"/>
              </w:rPr>
              <w:t>7</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2.25</w:t>
            </w:r>
          </w:p>
        </w:tc>
        <w:tc>
          <w:tcPr>
            <w:tcW w:w="75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“Misconduct”</w:t>
            </w:r>
          </w:p>
        </w:tc>
        <w:tc>
          <w:tcPr>
            <w:tcW w:w="2380" w:type="dxa"/>
            <w:vAlign w:val="bottom"/>
          </w:tcPr>
          <w:p>
            <w:pPr>
              <w:jc w:val="center"/>
              <w:ind w:left="1901"/>
              <w:spacing w:after="0"/>
              <w:rPr>
                <w:sz w:val="20"/>
                <w:szCs w:val="20"/>
                <w:color w:val="auto"/>
              </w:rPr>
            </w:pPr>
            <w:r>
              <w:rPr>
                <w:rFonts w:ascii="Times New Roman" w:cs="Times New Roman" w:eastAsia="Times New Roman" w:hAnsi="Times New Roman"/>
                <w:sz w:val="20"/>
                <w:szCs w:val="20"/>
                <w:color w:val="auto"/>
                <w:w w:val="99"/>
              </w:rPr>
              <w:t>7</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2.26</w:t>
            </w:r>
          </w:p>
        </w:tc>
        <w:tc>
          <w:tcPr>
            <w:tcW w:w="75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“Non-Employee Director”</w:t>
            </w:r>
          </w:p>
        </w:tc>
        <w:tc>
          <w:tcPr>
            <w:tcW w:w="2380" w:type="dxa"/>
            <w:vAlign w:val="bottom"/>
          </w:tcPr>
          <w:p>
            <w:pPr>
              <w:jc w:val="center"/>
              <w:ind w:left="1901"/>
              <w:spacing w:after="0"/>
              <w:rPr>
                <w:sz w:val="20"/>
                <w:szCs w:val="20"/>
                <w:color w:val="auto"/>
              </w:rPr>
            </w:pPr>
            <w:r>
              <w:rPr>
                <w:rFonts w:ascii="Times New Roman" w:cs="Times New Roman" w:eastAsia="Times New Roman" w:hAnsi="Times New Roman"/>
                <w:sz w:val="20"/>
                <w:szCs w:val="20"/>
                <w:color w:val="auto"/>
                <w:w w:val="99"/>
              </w:rPr>
              <w:t>8</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2.27</w:t>
            </w:r>
          </w:p>
        </w:tc>
        <w:tc>
          <w:tcPr>
            <w:tcW w:w="75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“Non-Employee Director Compensation Policy”</w:t>
            </w:r>
          </w:p>
        </w:tc>
        <w:tc>
          <w:tcPr>
            <w:tcW w:w="2380" w:type="dxa"/>
            <w:vAlign w:val="bottom"/>
          </w:tcPr>
          <w:p>
            <w:pPr>
              <w:jc w:val="center"/>
              <w:ind w:left="1901"/>
              <w:spacing w:after="0"/>
              <w:rPr>
                <w:sz w:val="20"/>
                <w:szCs w:val="20"/>
                <w:color w:val="auto"/>
              </w:rPr>
            </w:pPr>
            <w:r>
              <w:rPr>
                <w:rFonts w:ascii="Times New Roman" w:cs="Times New Roman" w:eastAsia="Times New Roman" w:hAnsi="Times New Roman"/>
                <w:sz w:val="20"/>
                <w:szCs w:val="20"/>
                <w:color w:val="auto"/>
                <w:w w:val="99"/>
              </w:rPr>
              <w:t>8</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2.28</w:t>
            </w:r>
          </w:p>
        </w:tc>
        <w:tc>
          <w:tcPr>
            <w:tcW w:w="75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“Non-Qualified Stock Option”</w:t>
            </w:r>
          </w:p>
        </w:tc>
        <w:tc>
          <w:tcPr>
            <w:tcW w:w="2380" w:type="dxa"/>
            <w:vAlign w:val="bottom"/>
          </w:tcPr>
          <w:p>
            <w:pPr>
              <w:jc w:val="center"/>
              <w:ind w:left="1901"/>
              <w:spacing w:after="0"/>
              <w:rPr>
                <w:sz w:val="20"/>
                <w:szCs w:val="20"/>
                <w:color w:val="auto"/>
              </w:rPr>
            </w:pPr>
            <w:r>
              <w:rPr>
                <w:rFonts w:ascii="Times New Roman" w:cs="Times New Roman" w:eastAsia="Times New Roman" w:hAnsi="Times New Roman"/>
                <w:sz w:val="20"/>
                <w:szCs w:val="20"/>
                <w:color w:val="auto"/>
                <w:w w:val="99"/>
              </w:rPr>
              <w:t>8</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2.29</w:t>
            </w:r>
          </w:p>
        </w:tc>
        <w:tc>
          <w:tcPr>
            <w:tcW w:w="75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“Option”</w:t>
            </w:r>
          </w:p>
        </w:tc>
        <w:tc>
          <w:tcPr>
            <w:tcW w:w="2380" w:type="dxa"/>
            <w:vAlign w:val="bottom"/>
          </w:tcPr>
          <w:p>
            <w:pPr>
              <w:jc w:val="center"/>
              <w:ind w:left="1901"/>
              <w:spacing w:after="0"/>
              <w:rPr>
                <w:sz w:val="20"/>
                <w:szCs w:val="20"/>
                <w:color w:val="auto"/>
              </w:rPr>
            </w:pPr>
            <w:r>
              <w:rPr>
                <w:rFonts w:ascii="Times New Roman" w:cs="Times New Roman" w:eastAsia="Times New Roman" w:hAnsi="Times New Roman"/>
                <w:sz w:val="20"/>
                <w:szCs w:val="20"/>
                <w:color w:val="auto"/>
                <w:w w:val="99"/>
              </w:rPr>
              <w:t>8</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2.30</w:t>
            </w:r>
          </w:p>
        </w:tc>
        <w:tc>
          <w:tcPr>
            <w:tcW w:w="75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“Option Term”</w:t>
            </w:r>
          </w:p>
        </w:tc>
        <w:tc>
          <w:tcPr>
            <w:tcW w:w="2380" w:type="dxa"/>
            <w:vAlign w:val="bottom"/>
          </w:tcPr>
          <w:p>
            <w:pPr>
              <w:jc w:val="center"/>
              <w:ind w:left="1901"/>
              <w:spacing w:after="0"/>
              <w:rPr>
                <w:sz w:val="20"/>
                <w:szCs w:val="20"/>
                <w:color w:val="auto"/>
              </w:rPr>
            </w:pPr>
            <w:r>
              <w:rPr>
                <w:rFonts w:ascii="Times New Roman" w:cs="Times New Roman" w:eastAsia="Times New Roman" w:hAnsi="Times New Roman"/>
                <w:sz w:val="20"/>
                <w:szCs w:val="20"/>
                <w:color w:val="auto"/>
                <w:w w:val="99"/>
              </w:rPr>
              <w:t>8</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2.31</w:t>
            </w:r>
          </w:p>
        </w:tc>
        <w:tc>
          <w:tcPr>
            <w:tcW w:w="75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“Performance Award”</w:t>
            </w:r>
          </w:p>
        </w:tc>
        <w:tc>
          <w:tcPr>
            <w:tcW w:w="2380" w:type="dxa"/>
            <w:vAlign w:val="bottom"/>
          </w:tcPr>
          <w:p>
            <w:pPr>
              <w:jc w:val="center"/>
              <w:ind w:left="1901"/>
              <w:spacing w:after="0"/>
              <w:rPr>
                <w:sz w:val="20"/>
                <w:szCs w:val="20"/>
                <w:color w:val="auto"/>
              </w:rPr>
            </w:pPr>
            <w:r>
              <w:rPr>
                <w:rFonts w:ascii="Times New Roman" w:cs="Times New Roman" w:eastAsia="Times New Roman" w:hAnsi="Times New Roman"/>
                <w:sz w:val="20"/>
                <w:szCs w:val="20"/>
                <w:color w:val="auto"/>
                <w:w w:val="99"/>
              </w:rPr>
              <w:t>8</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2.32</w:t>
            </w:r>
          </w:p>
        </w:tc>
        <w:tc>
          <w:tcPr>
            <w:tcW w:w="75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“Performance Criteria”</w:t>
            </w:r>
          </w:p>
        </w:tc>
        <w:tc>
          <w:tcPr>
            <w:tcW w:w="2380" w:type="dxa"/>
            <w:vAlign w:val="bottom"/>
          </w:tcPr>
          <w:p>
            <w:pPr>
              <w:jc w:val="center"/>
              <w:ind w:left="1901"/>
              <w:spacing w:after="0"/>
              <w:rPr>
                <w:sz w:val="20"/>
                <w:szCs w:val="20"/>
                <w:color w:val="auto"/>
              </w:rPr>
            </w:pPr>
            <w:r>
              <w:rPr>
                <w:rFonts w:ascii="Times New Roman" w:cs="Times New Roman" w:eastAsia="Times New Roman" w:hAnsi="Times New Roman"/>
                <w:sz w:val="20"/>
                <w:szCs w:val="20"/>
                <w:color w:val="auto"/>
                <w:w w:val="99"/>
              </w:rPr>
              <w:t>8</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2.33</w:t>
            </w:r>
          </w:p>
        </w:tc>
        <w:tc>
          <w:tcPr>
            <w:tcW w:w="75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“Performance Period”</w:t>
            </w:r>
          </w:p>
        </w:tc>
        <w:tc>
          <w:tcPr>
            <w:tcW w:w="2380" w:type="dxa"/>
            <w:vAlign w:val="bottom"/>
          </w:tcPr>
          <w:p>
            <w:pPr>
              <w:jc w:val="center"/>
              <w:ind w:left="1901"/>
              <w:spacing w:after="0"/>
              <w:rPr>
                <w:sz w:val="20"/>
                <w:szCs w:val="20"/>
                <w:color w:val="auto"/>
              </w:rPr>
            </w:pPr>
            <w:r>
              <w:rPr>
                <w:rFonts w:ascii="Times New Roman" w:cs="Times New Roman" w:eastAsia="Times New Roman" w:hAnsi="Times New Roman"/>
                <w:sz w:val="20"/>
                <w:szCs w:val="20"/>
                <w:color w:val="auto"/>
                <w:w w:val="99"/>
              </w:rPr>
              <w:t>9</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2.34</w:t>
            </w:r>
          </w:p>
        </w:tc>
        <w:tc>
          <w:tcPr>
            <w:tcW w:w="75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“Performance Stock Unit”</w:t>
            </w:r>
          </w:p>
        </w:tc>
        <w:tc>
          <w:tcPr>
            <w:tcW w:w="2380" w:type="dxa"/>
            <w:vAlign w:val="bottom"/>
          </w:tcPr>
          <w:p>
            <w:pPr>
              <w:jc w:val="center"/>
              <w:ind w:left="1901"/>
              <w:spacing w:after="0"/>
              <w:rPr>
                <w:sz w:val="20"/>
                <w:szCs w:val="20"/>
                <w:color w:val="auto"/>
              </w:rPr>
            </w:pPr>
            <w:r>
              <w:rPr>
                <w:rFonts w:ascii="Times New Roman" w:cs="Times New Roman" w:eastAsia="Times New Roman" w:hAnsi="Times New Roman"/>
                <w:sz w:val="20"/>
                <w:szCs w:val="20"/>
                <w:color w:val="auto"/>
                <w:w w:val="99"/>
              </w:rPr>
              <w:t>9</w:t>
            </w:r>
          </w:p>
        </w:tc>
      </w:tr>
    </w:tbl>
    <w:p>
      <w:pPr>
        <w:spacing w:after="0" w:line="200" w:lineRule="exact"/>
        <w:rPr>
          <w:sz w:val="20"/>
          <w:szCs w:val="20"/>
          <w:color w:val="auto"/>
        </w:rPr>
      </w:pPr>
    </w:p>
    <w:p>
      <w:pPr>
        <w:sectPr>
          <w:pgSz w:w="11900" w:h="16838" w:orient="portrait"/>
          <w:cols w:equalWidth="0" w:num="1">
            <w:col w:w="11060"/>
          </w:cols>
          <w:pgMar w:left="340" w:top="1031" w:right="499" w:bottom="1440" w:gutter="0" w:footer="0" w:header="0"/>
        </w:sectPr>
      </w:pPr>
    </w:p>
    <w:p>
      <w:pPr>
        <w:spacing w:after="0" w:line="28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3"/>
          <w:szCs w:val="13"/>
          <w:color w:val="auto"/>
        </w:rPr>
        <w:t>i</w:t>
      </w:r>
    </w:p>
    <w:p>
      <w:pPr>
        <w:sectPr>
          <w:pgSz w:w="11900" w:h="16838" w:orient="portrait"/>
          <w:cols w:equalWidth="0" w:num="1">
            <w:col w:w="11060"/>
          </w:cols>
          <w:pgMar w:left="340" w:top="1031" w:right="49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58"/>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2.35</w:t>
            </w:r>
          </w:p>
        </w:tc>
        <w:tc>
          <w:tcPr>
            <w:tcW w:w="66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“Permitted Transferee”</w:t>
            </w:r>
          </w:p>
        </w:tc>
        <w:tc>
          <w:tcPr>
            <w:tcW w:w="3140" w:type="dxa"/>
            <w:vAlign w:val="bottom"/>
          </w:tcPr>
          <w:p>
            <w:pPr>
              <w:jc w:val="center"/>
              <w:ind w:left="2821"/>
              <w:spacing w:after="0"/>
              <w:rPr>
                <w:sz w:val="20"/>
                <w:szCs w:val="20"/>
                <w:color w:val="auto"/>
              </w:rPr>
            </w:pPr>
            <w:r>
              <w:rPr>
                <w:rFonts w:ascii="Times New Roman" w:cs="Times New Roman" w:eastAsia="Times New Roman" w:hAnsi="Times New Roman"/>
                <w:sz w:val="20"/>
                <w:szCs w:val="20"/>
                <w:color w:val="auto"/>
                <w:w w:val="99"/>
              </w:rPr>
              <w:t>9</w:t>
            </w:r>
          </w:p>
        </w:tc>
      </w:tr>
      <w:tr>
        <w:trPr>
          <w:trHeight w:val="351"/>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2.36</w:t>
            </w:r>
          </w:p>
        </w:tc>
        <w:tc>
          <w:tcPr>
            <w:tcW w:w="66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“Plan”</w:t>
            </w:r>
          </w:p>
        </w:tc>
        <w:tc>
          <w:tcPr>
            <w:tcW w:w="3140" w:type="dxa"/>
            <w:vAlign w:val="bottom"/>
          </w:tcPr>
          <w:p>
            <w:pPr>
              <w:jc w:val="center"/>
              <w:ind w:left="2821"/>
              <w:spacing w:after="0"/>
              <w:rPr>
                <w:sz w:val="20"/>
                <w:szCs w:val="20"/>
                <w:color w:val="auto"/>
              </w:rPr>
            </w:pPr>
            <w:r>
              <w:rPr>
                <w:rFonts w:ascii="Times New Roman" w:cs="Times New Roman" w:eastAsia="Times New Roman" w:hAnsi="Times New Roman"/>
                <w:sz w:val="20"/>
                <w:szCs w:val="20"/>
                <w:color w:val="auto"/>
                <w:w w:val="99"/>
              </w:rPr>
              <w:t>9</w:t>
            </w:r>
          </w:p>
        </w:tc>
      </w:tr>
      <w:tr>
        <w:trPr>
          <w:trHeight w:val="351"/>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2.37</w:t>
            </w:r>
          </w:p>
        </w:tc>
        <w:tc>
          <w:tcPr>
            <w:tcW w:w="66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“Prior Plan”</w:t>
            </w:r>
          </w:p>
        </w:tc>
        <w:tc>
          <w:tcPr>
            <w:tcW w:w="3140" w:type="dxa"/>
            <w:vAlign w:val="bottom"/>
          </w:tcPr>
          <w:p>
            <w:pPr>
              <w:jc w:val="center"/>
              <w:ind w:left="2821"/>
              <w:spacing w:after="0"/>
              <w:rPr>
                <w:sz w:val="20"/>
                <w:szCs w:val="20"/>
                <w:color w:val="auto"/>
              </w:rPr>
            </w:pPr>
            <w:r>
              <w:rPr>
                <w:rFonts w:ascii="Times New Roman" w:cs="Times New Roman" w:eastAsia="Times New Roman" w:hAnsi="Times New Roman"/>
                <w:sz w:val="20"/>
                <w:szCs w:val="20"/>
                <w:color w:val="auto"/>
                <w:w w:val="99"/>
              </w:rPr>
              <w:t>9</w:t>
            </w:r>
          </w:p>
        </w:tc>
      </w:tr>
      <w:tr>
        <w:trPr>
          <w:trHeight w:val="351"/>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2.38</w:t>
            </w:r>
          </w:p>
        </w:tc>
        <w:tc>
          <w:tcPr>
            <w:tcW w:w="66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“Prior Plan Award”</w:t>
            </w:r>
          </w:p>
        </w:tc>
        <w:tc>
          <w:tcPr>
            <w:tcW w:w="3140" w:type="dxa"/>
            <w:vAlign w:val="bottom"/>
          </w:tcPr>
          <w:p>
            <w:pPr>
              <w:jc w:val="center"/>
              <w:ind w:left="2821"/>
              <w:spacing w:after="0"/>
              <w:rPr>
                <w:sz w:val="20"/>
                <w:szCs w:val="20"/>
                <w:color w:val="auto"/>
              </w:rPr>
            </w:pPr>
            <w:r>
              <w:rPr>
                <w:rFonts w:ascii="Times New Roman" w:cs="Times New Roman" w:eastAsia="Times New Roman" w:hAnsi="Times New Roman"/>
                <w:sz w:val="20"/>
                <w:szCs w:val="20"/>
                <w:color w:val="auto"/>
                <w:w w:val="99"/>
              </w:rPr>
              <w:t>9</w:t>
            </w:r>
          </w:p>
        </w:tc>
      </w:tr>
      <w:tr>
        <w:trPr>
          <w:trHeight w:val="351"/>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2.39</w:t>
            </w:r>
          </w:p>
        </w:tc>
        <w:tc>
          <w:tcPr>
            <w:tcW w:w="66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“Restricted Stock”</w:t>
            </w:r>
          </w:p>
        </w:tc>
        <w:tc>
          <w:tcPr>
            <w:tcW w:w="3140" w:type="dxa"/>
            <w:vAlign w:val="bottom"/>
          </w:tcPr>
          <w:p>
            <w:pPr>
              <w:jc w:val="center"/>
              <w:ind w:left="2821"/>
              <w:spacing w:after="0"/>
              <w:rPr>
                <w:sz w:val="20"/>
                <w:szCs w:val="20"/>
                <w:color w:val="auto"/>
              </w:rPr>
            </w:pPr>
            <w:r>
              <w:rPr>
                <w:rFonts w:ascii="Times New Roman" w:cs="Times New Roman" w:eastAsia="Times New Roman" w:hAnsi="Times New Roman"/>
                <w:sz w:val="20"/>
                <w:szCs w:val="20"/>
                <w:color w:val="auto"/>
                <w:w w:val="99"/>
              </w:rPr>
              <w:t>9</w:t>
            </w:r>
          </w:p>
        </w:tc>
      </w:tr>
      <w:tr>
        <w:trPr>
          <w:trHeight w:val="351"/>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2.40</w:t>
            </w:r>
          </w:p>
        </w:tc>
        <w:tc>
          <w:tcPr>
            <w:tcW w:w="66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“Restricted Stock Units”</w:t>
            </w:r>
          </w:p>
        </w:tc>
        <w:tc>
          <w:tcPr>
            <w:tcW w:w="3140" w:type="dxa"/>
            <w:vAlign w:val="bottom"/>
          </w:tcPr>
          <w:p>
            <w:pPr>
              <w:jc w:val="center"/>
              <w:ind w:left="2821"/>
              <w:spacing w:after="0"/>
              <w:rPr>
                <w:sz w:val="20"/>
                <w:szCs w:val="20"/>
                <w:color w:val="auto"/>
              </w:rPr>
            </w:pPr>
            <w:r>
              <w:rPr>
                <w:rFonts w:ascii="Times New Roman" w:cs="Times New Roman" w:eastAsia="Times New Roman" w:hAnsi="Times New Roman"/>
                <w:sz w:val="20"/>
                <w:szCs w:val="20"/>
                <w:color w:val="auto"/>
                <w:w w:val="99"/>
              </w:rPr>
              <w:t>9</w:t>
            </w:r>
          </w:p>
        </w:tc>
      </w:tr>
      <w:tr>
        <w:trPr>
          <w:trHeight w:val="351"/>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2.41</w:t>
            </w:r>
          </w:p>
        </w:tc>
        <w:tc>
          <w:tcPr>
            <w:tcW w:w="66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“Securities Act”</w:t>
            </w:r>
          </w:p>
        </w:tc>
        <w:tc>
          <w:tcPr>
            <w:tcW w:w="3140" w:type="dxa"/>
            <w:vAlign w:val="bottom"/>
          </w:tcPr>
          <w:p>
            <w:pPr>
              <w:jc w:val="center"/>
              <w:ind w:left="2821"/>
              <w:spacing w:after="0"/>
              <w:rPr>
                <w:sz w:val="20"/>
                <w:szCs w:val="20"/>
                <w:color w:val="auto"/>
              </w:rPr>
            </w:pPr>
            <w:r>
              <w:rPr>
                <w:rFonts w:ascii="Times New Roman" w:cs="Times New Roman" w:eastAsia="Times New Roman" w:hAnsi="Times New Roman"/>
                <w:sz w:val="20"/>
                <w:szCs w:val="20"/>
                <w:color w:val="auto"/>
                <w:w w:val="99"/>
              </w:rPr>
              <w:t>9</w:t>
            </w:r>
          </w:p>
        </w:tc>
      </w:tr>
      <w:tr>
        <w:trPr>
          <w:trHeight w:val="351"/>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2.42</w:t>
            </w:r>
          </w:p>
        </w:tc>
        <w:tc>
          <w:tcPr>
            <w:tcW w:w="66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“Shares”</w:t>
            </w:r>
          </w:p>
        </w:tc>
        <w:tc>
          <w:tcPr>
            <w:tcW w:w="3140" w:type="dxa"/>
            <w:vAlign w:val="bottom"/>
          </w:tcPr>
          <w:p>
            <w:pPr>
              <w:jc w:val="center"/>
              <w:ind w:left="2821"/>
              <w:spacing w:after="0"/>
              <w:rPr>
                <w:sz w:val="20"/>
                <w:szCs w:val="20"/>
                <w:color w:val="auto"/>
              </w:rPr>
            </w:pPr>
            <w:r>
              <w:rPr>
                <w:rFonts w:ascii="Times New Roman" w:cs="Times New Roman" w:eastAsia="Times New Roman" w:hAnsi="Times New Roman"/>
                <w:sz w:val="20"/>
                <w:szCs w:val="20"/>
                <w:color w:val="auto"/>
                <w:w w:val="99"/>
              </w:rPr>
              <w:t>9</w:t>
            </w:r>
          </w:p>
        </w:tc>
      </w:tr>
      <w:tr>
        <w:trPr>
          <w:trHeight w:val="351"/>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2.43</w:t>
            </w:r>
          </w:p>
        </w:tc>
        <w:tc>
          <w:tcPr>
            <w:tcW w:w="66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“Stock Appreciation Right”</w:t>
            </w:r>
          </w:p>
        </w:tc>
        <w:tc>
          <w:tcPr>
            <w:tcW w:w="3140" w:type="dxa"/>
            <w:vAlign w:val="bottom"/>
          </w:tcPr>
          <w:p>
            <w:pPr>
              <w:jc w:val="center"/>
              <w:ind w:left="2821"/>
              <w:spacing w:after="0"/>
              <w:rPr>
                <w:sz w:val="20"/>
                <w:szCs w:val="20"/>
                <w:color w:val="auto"/>
              </w:rPr>
            </w:pPr>
            <w:r>
              <w:rPr>
                <w:rFonts w:ascii="Times New Roman" w:cs="Times New Roman" w:eastAsia="Times New Roman" w:hAnsi="Times New Roman"/>
                <w:sz w:val="20"/>
                <w:szCs w:val="20"/>
                <w:color w:val="auto"/>
                <w:w w:val="99"/>
              </w:rPr>
              <w:t>9</w:t>
            </w:r>
          </w:p>
        </w:tc>
      </w:tr>
      <w:tr>
        <w:trPr>
          <w:trHeight w:val="351"/>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2.44</w:t>
            </w:r>
          </w:p>
        </w:tc>
        <w:tc>
          <w:tcPr>
            <w:tcW w:w="66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“Stock Appreciation Right Term”</w:t>
            </w:r>
          </w:p>
        </w:tc>
        <w:tc>
          <w:tcPr>
            <w:tcW w:w="3140" w:type="dxa"/>
            <w:vAlign w:val="bottom"/>
          </w:tcPr>
          <w:p>
            <w:pPr>
              <w:jc w:val="center"/>
              <w:ind w:left="2821"/>
              <w:spacing w:after="0"/>
              <w:rPr>
                <w:sz w:val="20"/>
                <w:szCs w:val="20"/>
                <w:color w:val="auto"/>
              </w:rPr>
            </w:pPr>
            <w:r>
              <w:rPr>
                <w:rFonts w:ascii="Times New Roman" w:cs="Times New Roman" w:eastAsia="Times New Roman" w:hAnsi="Times New Roman"/>
                <w:sz w:val="20"/>
                <w:szCs w:val="20"/>
                <w:color w:val="auto"/>
                <w:w w:val="99"/>
              </w:rPr>
              <w:t>9</w:t>
            </w:r>
          </w:p>
        </w:tc>
      </w:tr>
      <w:tr>
        <w:trPr>
          <w:trHeight w:val="351"/>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2.45</w:t>
            </w:r>
          </w:p>
        </w:tc>
        <w:tc>
          <w:tcPr>
            <w:tcW w:w="66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“Stock Payment”</w:t>
            </w:r>
          </w:p>
        </w:tc>
        <w:tc>
          <w:tcPr>
            <w:tcW w:w="3140" w:type="dxa"/>
            <w:vAlign w:val="bottom"/>
          </w:tcPr>
          <w:p>
            <w:pPr>
              <w:jc w:val="center"/>
              <w:ind w:left="2821"/>
              <w:spacing w:after="0"/>
              <w:rPr>
                <w:sz w:val="20"/>
                <w:szCs w:val="20"/>
                <w:color w:val="auto"/>
              </w:rPr>
            </w:pPr>
            <w:r>
              <w:rPr>
                <w:rFonts w:ascii="Times New Roman" w:cs="Times New Roman" w:eastAsia="Times New Roman" w:hAnsi="Times New Roman"/>
                <w:sz w:val="20"/>
                <w:szCs w:val="20"/>
                <w:color w:val="auto"/>
                <w:w w:val="99"/>
              </w:rPr>
              <w:t>9</w:t>
            </w:r>
          </w:p>
        </w:tc>
      </w:tr>
      <w:tr>
        <w:trPr>
          <w:trHeight w:val="351"/>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2.46</w:t>
            </w:r>
          </w:p>
        </w:tc>
        <w:tc>
          <w:tcPr>
            <w:tcW w:w="66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“Subsidiary”</w:t>
            </w:r>
          </w:p>
        </w:tc>
        <w:tc>
          <w:tcPr>
            <w:tcW w:w="3140" w:type="dxa"/>
            <w:vAlign w:val="bottom"/>
          </w:tcPr>
          <w:p>
            <w:pPr>
              <w:jc w:val="center"/>
              <w:ind w:left="2821"/>
              <w:spacing w:after="0"/>
              <w:rPr>
                <w:sz w:val="20"/>
                <w:szCs w:val="20"/>
                <w:color w:val="auto"/>
              </w:rPr>
            </w:pPr>
            <w:r>
              <w:rPr>
                <w:rFonts w:ascii="Times New Roman" w:cs="Times New Roman" w:eastAsia="Times New Roman" w:hAnsi="Times New Roman"/>
                <w:sz w:val="20"/>
                <w:szCs w:val="20"/>
                <w:color w:val="auto"/>
                <w:w w:val="99"/>
              </w:rPr>
              <w:t>9</w:t>
            </w:r>
          </w:p>
        </w:tc>
      </w:tr>
      <w:tr>
        <w:trPr>
          <w:trHeight w:val="351"/>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2.47</w:t>
            </w:r>
          </w:p>
        </w:tc>
        <w:tc>
          <w:tcPr>
            <w:tcW w:w="66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“Substitute Award”</w:t>
            </w:r>
          </w:p>
        </w:tc>
        <w:tc>
          <w:tcPr>
            <w:tcW w:w="3140" w:type="dxa"/>
            <w:vAlign w:val="bottom"/>
          </w:tcPr>
          <w:p>
            <w:pPr>
              <w:jc w:val="center"/>
              <w:ind w:left="2821"/>
              <w:spacing w:after="0"/>
              <w:rPr>
                <w:sz w:val="20"/>
                <w:szCs w:val="20"/>
                <w:color w:val="auto"/>
              </w:rPr>
            </w:pPr>
            <w:r>
              <w:rPr>
                <w:rFonts w:ascii="Times New Roman" w:cs="Times New Roman" w:eastAsia="Times New Roman" w:hAnsi="Times New Roman"/>
                <w:sz w:val="20"/>
                <w:szCs w:val="20"/>
                <w:color w:val="auto"/>
                <w:w w:val="99"/>
              </w:rPr>
              <w:t>9</w:t>
            </w:r>
          </w:p>
        </w:tc>
      </w:tr>
      <w:tr>
        <w:trPr>
          <w:trHeight w:val="351"/>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2.48</w:t>
            </w:r>
          </w:p>
        </w:tc>
        <w:tc>
          <w:tcPr>
            <w:tcW w:w="66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“Termination of Service”</w:t>
            </w:r>
          </w:p>
        </w:tc>
        <w:tc>
          <w:tcPr>
            <w:tcW w:w="3140" w:type="dxa"/>
            <w:vAlign w:val="bottom"/>
          </w:tcPr>
          <w:p>
            <w:pPr>
              <w:jc w:val="center"/>
              <w:ind w:left="2821"/>
              <w:spacing w:after="0"/>
              <w:rPr>
                <w:sz w:val="20"/>
                <w:szCs w:val="20"/>
                <w:color w:val="auto"/>
              </w:rPr>
            </w:pPr>
            <w:r>
              <w:rPr>
                <w:rFonts w:ascii="Times New Roman" w:cs="Times New Roman" w:eastAsia="Times New Roman" w:hAnsi="Times New Roman"/>
                <w:sz w:val="20"/>
                <w:szCs w:val="20"/>
                <w:color w:val="auto"/>
                <w:w w:val="99"/>
              </w:rPr>
              <w:t>9</w:t>
            </w:r>
          </w:p>
        </w:tc>
      </w:tr>
      <w:tr>
        <w:trPr>
          <w:trHeight w:val="351"/>
        </w:trPr>
        <w:tc>
          <w:tcPr>
            <w:tcW w:w="7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3.   SHARES SUBJECT TO THE PLAN</w:t>
            </w:r>
          </w:p>
        </w:tc>
        <w:tc>
          <w:tcPr>
            <w:tcW w:w="3140" w:type="dxa"/>
            <w:vAlign w:val="bottom"/>
          </w:tcPr>
          <w:p>
            <w:pPr>
              <w:jc w:val="center"/>
              <w:ind w:left="2841"/>
              <w:spacing w:after="0"/>
              <w:rPr>
                <w:sz w:val="20"/>
                <w:szCs w:val="20"/>
                <w:color w:val="auto"/>
              </w:rPr>
            </w:pPr>
            <w:r>
              <w:rPr>
                <w:rFonts w:ascii="Times New Roman" w:cs="Times New Roman" w:eastAsia="Times New Roman" w:hAnsi="Times New Roman"/>
                <w:sz w:val="20"/>
                <w:szCs w:val="20"/>
                <w:color w:val="auto"/>
                <w:w w:val="99"/>
              </w:rPr>
              <w:t>10</w:t>
            </w:r>
          </w:p>
        </w:tc>
      </w:tr>
      <w:tr>
        <w:trPr>
          <w:trHeight w:val="351"/>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3.1</w:t>
            </w:r>
          </w:p>
        </w:tc>
        <w:tc>
          <w:tcPr>
            <w:tcW w:w="66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Number of Shares</w:t>
            </w:r>
          </w:p>
        </w:tc>
        <w:tc>
          <w:tcPr>
            <w:tcW w:w="3140" w:type="dxa"/>
            <w:vAlign w:val="bottom"/>
          </w:tcPr>
          <w:p>
            <w:pPr>
              <w:jc w:val="center"/>
              <w:ind w:left="2841"/>
              <w:spacing w:after="0"/>
              <w:rPr>
                <w:sz w:val="20"/>
                <w:szCs w:val="20"/>
                <w:color w:val="auto"/>
              </w:rPr>
            </w:pPr>
            <w:r>
              <w:rPr>
                <w:rFonts w:ascii="Times New Roman" w:cs="Times New Roman" w:eastAsia="Times New Roman" w:hAnsi="Times New Roman"/>
                <w:sz w:val="20"/>
                <w:szCs w:val="20"/>
                <w:color w:val="auto"/>
                <w:w w:val="99"/>
              </w:rPr>
              <w:t>10</w:t>
            </w:r>
          </w:p>
        </w:tc>
      </w:tr>
      <w:tr>
        <w:trPr>
          <w:trHeight w:val="351"/>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3.2</w:t>
            </w:r>
          </w:p>
        </w:tc>
        <w:tc>
          <w:tcPr>
            <w:tcW w:w="66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Stock Distributed</w:t>
            </w:r>
          </w:p>
        </w:tc>
        <w:tc>
          <w:tcPr>
            <w:tcW w:w="3140" w:type="dxa"/>
            <w:vAlign w:val="bottom"/>
          </w:tcPr>
          <w:p>
            <w:pPr>
              <w:jc w:val="center"/>
              <w:ind w:left="2841"/>
              <w:spacing w:after="0"/>
              <w:rPr>
                <w:sz w:val="20"/>
                <w:szCs w:val="20"/>
                <w:color w:val="auto"/>
              </w:rPr>
            </w:pPr>
            <w:r>
              <w:rPr>
                <w:rFonts w:ascii="Times New Roman" w:cs="Times New Roman" w:eastAsia="Times New Roman" w:hAnsi="Times New Roman"/>
                <w:sz w:val="20"/>
                <w:szCs w:val="20"/>
                <w:color w:val="auto"/>
                <w:w w:val="99"/>
              </w:rPr>
              <w:t>11</w:t>
            </w:r>
          </w:p>
        </w:tc>
      </w:tr>
      <w:tr>
        <w:trPr>
          <w:trHeight w:val="351"/>
        </w:trPr>
        <w:tc>
          <w:tcPr>
            <w:tcW w:w="7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4.   GRANTING OF AWARDS</w:t>
            </w:r>
          </w:p>
        </w:tc>
        <w:tc>
          <w:tcPr>
            <w:tcW w:w="3140" w:type="dxa"/>
            <w:vAlign w:val="bottom"/>
          </w:tcPr>
          <w:p>
            <w:pPr>
              <w:jc w:val="center"/>
              <w:ind w:left="2841"/>
              <w:spacing w:after="0"/>
              <w:rPr>
                <w:sz w:val="20"/>
                <w:szCs w:val="20"/>
                <w:color w:val="auto"/>
              </w:rPr>
            </w:pPr>
            <w:r>
              <w:rPr>
                <w:rFonts w:ascii="Times New Roman" w:cs="Times New Roman" w:eastAsia="Times New Roman" w:hAnsi="Times New Roman"/>
                <w:sz w:val="20"/>
                <w:szCs w:val="20"/>
                <w:color w:val="auto"/>
                <w:w w:val="99"/>
              </w:rPr>
              <w:t>11</w:t>
            </w:r>
          </w:p>
        </w:tc>
      </w:tr>
      <w:tr>
        <w:trPr>
          <w:trHeight w:val="351"/>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4.1</w:t>
            </w:r>
          </w:p>
        </w:tc>
        <w:tc>
          <w:tcPr>
            <w:tcW w:w="66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Participation</w:t>
            </w:r>
          </w:p>
        </w:tc>
        <w:tc>
          <w:tcPr>
            <w:tcW w:w="3140" w:type="dxa"/>
            <w:vAlign w:val="bottom"/>
          </w:tcPr>
          <w:p>
            <w:pPr>
              <w:jc w:val="center"/>
              <w:ind w:left="2841"/>
              <w:spacing w:after="0"/>
              <w:rPr>
                <w:sz w:val="20"/>
                <w:szCs w:val="20"/>
                <w:color w:val="auto"/>
              </w:rPr>
            </w:pPr>
            <w:r>
              <w:rPr>
                <w:rFonts w:ascii="Times New Roman" w:cs="Times New Roman" w:eastAsia="Times New Roman" w:hAnsi="Times New Roman"/>
                <w:sz w:val="20"/>
                <w:szCs w:val="20"/>
                <w:color w:val="auto"/>
                <w:w w:val="99"/>
              </w:rPr>
              <w:t>11</w:t>
            </w:r>
          </w:p>
        </w:tc>
      </w:tr>
      <w:tr>
        <w:trPr>
          <w:trHeight w:val="351"/>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4.2</w:t>
            </w:r>
          </w:p>
        </w:tc>
        <w:tc>
          <w:tcPr>
            <w:tcW w:w="66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Award Agreement</w:t>
            </w:r>
          </w:p>
        </w:tc>
        <w:tc>
          <w:tcPr>
            <w:tcW w:w="3140" w:type="dxa"/>
            <w:vAlign w:val="bottom"/>
          </w:tcPr>
          <w:p>
            <w:pPr>
              <w:jc w:val="center"/>
              <w:ind w:left="2841"/>
              <w:spacing w:after="0"/>
              <w:rPr>
                <w:sz w:val="20"/>
                <w:szCs w:val="20"/>
                <w:color w:val="auto"/>
              </w:rPr>
            </w:pPr>
            <w:r>
              <w:rPr>
                <w:rFonts w:ascii="Times New Roman" w:cs="Times New Roman" w:eastAsia="Times New Roman" w:hAnsi="Times New Roman"/>
                <w:sz w:val="20"/>
                <w:szCs w:val="20"/>
                <w:color w:val="auto"/>
                <w:w w:val="99"/>
              </w:rPr>
              <w:t>11</w:t>
            </w:r>
          </w:p>
        </w:tc>
      </w:tr>
      <w:tr>
        <w:trPr>
          <w:trHeight w:val="351"/>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4.3</w:t>
            </w:r>
          </w:p>
        </w:tc>
        <w:tc>
          <w:tcPr>
            <w:tcW w:w="66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Limitations Applicable to Section 16 Persons</w:t>
            </w:r>
          </w:p>
        </w:tc>
        <w:tc>
          <w:tcPr>
            <w:tcW w:w="3140" w:type="dxa"/>
            <w:vAlign w:val="bottom"/>
          </w:tcPr>
          <w:p>
            <w:pPr>
              <w:jc w:val="center"/>
              <w:ind w:left="2841"/>
              <w:spacing w:after="0"/>
              <w:rPr>
                <w:sz w:val="20"/>
                <w:szCs w:val="20"/>
                <w:color w:val="auto"/>
              </w:rPr>
            </w:pPr>
            <w:r>
              <w:rPr>
                <w:rFonts w:ascii="Times New Roman" w:cs="Times New Roman" w:eastAsia="Times New Roman" w:hAnsi="Times New Roman"/>
                <w:sz w:val="20"/>
                <w:szCs w:val="20"/>
                <w:color w:val="auto"/>
                <w:w w:val="99"/>
              </w:rPr>
              <w:t>11</w:t>
            </w:r>
          </w:p>
        </w:tc>
      </w:tr>
      <w:tr>
        <w:trPr>
          <w:trHeight w:val="351"/>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4.4</w:t>
            </w:r>
          </w:p>
        </w:tc>
        <w:tc>
          <w:tcPr>
            <w:tcW w:w="66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At-Will Employment; Voluntary Participation</w:t>
            </w:r>
          </w:p>
        </w:tc>
        <w:tc>
          <w:tcPr>
            <w:tcW w:w="3140" w:type="dxa"/>
            <w:vAlign w:val="bottom"/>
          </w:tcPr>
          <w:p>
            <w:pPr>
              <w:jc w:val="center"/>
              <w:ind w:left="2841"/>
              <w:spacing w:after="0"/>
              <w:rPr>
                <w:sz w:val="20"/>
                <w:szCs w:val="20"/>
                <w:color w:val="auto"/>
              </w:rPr>
            </w:pPr>
            <w:r>
              <w:rPr>
                <w:rFonts w:ascii="Times New Roman" w:cs="Times New Roman" w:eastAsia="Times New Roman" w:hAnsi="Times New Roman"/>
                <w:sz w:val="20"/>
                <w:szCs w:val="20"/>
                <w:color w:val="auto"/>
                <w:w w:val="99"/>
              </w:rPr>
              <w:t>11</w:t>
            </w:r>
          </w:p>
        </w:tc>
      </w:tr>
      <w:tr>
        <w:trPr>
          <w:trHeight w:val="351"/>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4.5</w:t>
            </w:r>
          </w:p>
        </w:tc>
        <w:tc>
          <w:tcPr>
            <w:tcW w:w="66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Foreign Holders</w:t>
            </w:r>
          </w:p>
        </w:tc>
        <w:tc>
          <w:tcPr>
            <w:tcW w:w="3140" w:type="dxa"/>
            <w:vAlign w:val="bottom"/>
          </w:tcPr>
          <w:p>
            <w:pPr>
              <w:jc w:val="center"/>
              <w:ind w:left="2841"/>
              <w:spacing w:after="0"/>
              <w:rPr>
                <w:sz w:val="20"/>
                <w:szCs w:val="20"/>
                <w:color w:val="auto"/>
              </w:rPr>
            </w:pPr>
            <w:r>
              <w:rPr>
                <w:rFonts w:ascii="Times New Roman" w:cs="Times New Roman" w:eastAsia="Times New Roman" w:hAnsi="Times New Roman"/>
                <w:sz w:val="20"/>
                <w:szCs w:val="20"/>
                <w:color w:val="auto"/>
                <w:w w:val="99"/>
              </w:rPr>
              <w:t>11</w:t>
            </w:r>
          </w:p>
        </w:tc>
      </w:tr>
      <w:tr>
        <w:trPr>
          <w:trHeight w:val="351"/>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4.6</w:t>
            </w:r>
          </w:p>
        </w:tc>
        <w:tc>
          <w:tcPr>
            <w:tcW w:w="66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Non-Employee Director Awards</w:t>
            </w:r>
          </w:p>
        </w:tc>
        <w:tc>
          <w:tcPr>
            <w:tcW w:w="3140" w:type="dxa"/>
            <w:vAlign w:val="bottom"/>
          </w:tcPr>
          <w:p>
            <w:pPr>
              <w:jc w:val="center"/>
              <w:ind w:left="2841"/>
              <w:spacing w:after="0"/>
              <w:rPr>
                <w:sz w:val="20"/>
                <w:szCs w:val="20"/>
                <w:color w:val="auto"/>
              </w:rPr>
            </w:pPr>
            <w:r>
              <w:rPr>
                <w:rFonts w:ascii="Times New Roman" w:cs="Times New Roman" w:eastAsia="Times New Roman" w:hAnsi="Times New Roman"/>
                <w:sz w:val="20"/>
                <w:szCs w:val="20"/>
                <w:color w:val="auto"/>
                <w:w w:val="99"/>
              </w:rPr>
              <w:t>12</w:t>
            </w:r>
          </w:p>
        </w:tc>
      </w:tr>
      <w:tr>
        <w:trPr>
          <w:trHeight w:val="351"/>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4.7</w:t>
            </w:r>
          </w:p>
        </w:tc>
        <w:tc>
          <w:tcPr>
            <w:tcW w:w="66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Stand-Alone and Tandem Awards</w:t>
            </w:r>
          </w:p>
        </w:tc>
        <w:tc>
          <w:tcPr>
            <w:tcW w:w="3140" w:type="dxa"/>
            <w:vAlign w:val="bottom"/>
          </w:tcPr>
          <w:p>
            <w:pPr>
              <w:jc w:val="center"/>
              <w:ind w:left="2841"/>
              <w:spacing w:after="0"/>
              <w:rPr>
                <w:sz w:val="20"/>
                <w:szCs w:val="20"/>
                <w:color w:val="auto"/>
              </w:rPr>
            </w:pPr>
            <w:r>
              <w:rPr>
                <w:rFonts w:ascii="Times New Roman" w:cs="Times New Roman" w:eastAsia="Times New Roman" w:hAnsi="Times New Roman"/>
                <w:sz w:val="20"/>
                <w:szCs w:val="20"/>
                <w:color w:val="auto"/>
                <w:w w:val="99"/>
              </w:rPr>
              <w:t>12</w:t>
            </w:r>
          </w:p>
        </w:tc>
      </w:tr>
      <w:tr>
        <w:trPr>
          <w:trHeight w:val="351"/>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ARTICLE 5.</w:t>
            </w:r>
          </w:p>
        </w:tc>
        <w:tc>
          <w:tcPr>
            <w:tcW w:w="66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OPTIONS</w:t>
            </w:r>
          </w:p>
        </w:tc>
        <w:tc>
          <w:tcPr>
            <w:tcW w:w="3140" w:type="dxa"/>
            <w:vAlign w:val="bottom"/>
          </w:tcPr>
          <w:p>
            <w:pPr>
              <w:jc w:val="center"/>
              <w:ind w:left="2841"/>
              <w:spacing w:after="0"/>
              <w:rPr>
                <w:sz w:val="20"/>
                <w:szCs w:val="20"/>
                <w:color w:val="auto"/>
              </w:rPr>
            </w:pPr>
            <w:r>
              <w:rPr>
                <w:rFonts w:ascii="Times New Roman" w:cs="Times New Roman" w:eastAsia="Times New Roman" w:hAnsi="Times New Roman"/>
                <w:sz w:val="20"/>
                <w:szCs w:val="20"/>
                <w:color w:val="auto"/>
                <w:w w:val="99"/>
              </w:rPr>
              <w:t>12</w:t>
            </w:r>
          </w:p>
        </w:tc>
      </w:tr>
      <w:tr>
        <w:trPr>
          <w:trHeight w:val="351"/>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5.1</w:t>
            </w:r>
          </w:p>
        </w:tc>
        <w:tc>
          <w:tcPr>
            <w:tcW w:w="66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Granting of Options to Eligible Individuals</w:t>
            </w:r>
          </w:p>
        </w:tc>
        <w:tc>
          <w:tcPr>
            <w:tcW w:w="3140" w:type="dxa"/>
            <w:vAlign w:val="bottom"/>
          </w:tcPr>
          <w:p>
            <w:pPr>
              <w:jc w:val="center"/>
              <w:ind w:left="2841"/>
              <w:spacing w:after="0"/>
              <w:rPr>
                <w:sz w:val="20"/>
                <w:szCs w:val="20"/>
                <w:color w:val="auto"/>
              </w:rPr>
            </w:pPr>
            <w:r>
              <w:rPr>
                <w:rFonts w:ascii="Times New Roman" w:cs="Times New Roman" w:eastAsia="Times New Roman" w:hAnsi="Times New Roman"/>
                <w:sz w:val="20"/>
                <w:szCs w:val="20"/>
                <w:color w:val="auto"/>
                <w:w w:val="99"/>
              </w:rPr>
              <w:t>12</w:t>
            </w:r>
          </w:p>
        </w:tc>
      </w:tr>
      <w:tr>
        <w:trPr>
          <w:trHeight w:val="351"/>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5.2</w:t>
            </w:r>
          </w:p>
        </w:tc>
        <w:tc>
          <w:tcPr>
            <w:tcW w:w="66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Option Exercise Price</w:t>
            </w:r>
          </w:p>
        </w:tc>
        <w:tc>
          <w:tcPr>
            <w:tcW w:w="3140" w:type="dxa"/>
            <w:vAlign w:val="bottom"/>
          </w:tcPr>
          <w:p>
            <w:pPr>
              <w:jc w:val="center"/>
              <w:ind w:left="2841"/>
              <w:spacing w:after="0"/>
              <w:rPr>
                <w:sz w:val="20"/>
                <w:szCs w:val="20"/>
                <w:color w:val="auto"/>
              </w:rPr>
            </w:pPr>
            <w:r>
              <w:rPr>
                <w:rFonts w:ascii="Times New Roman" w:cs="Times New Roman" w:eastAsia="Times New Roman" w:hAnsi="Times New Roman"/>
                <w:sz w:val="20"/>
                <w:szCs w:val="20"/>
                <w:color w:val="auto"/>
                <w:w w:val="99"/>
              </w:rPr>
              <w:t>12</w:t>
            </w:r>
          </w:p>
        </w:tc>
      </w:tr>
      <w:tr>
        <w:trPr>
          <w:trHeight w:val="351"/>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5.3</w:t>
            </w:r>
          </w:p>
        </w:tc>
        <w:tc>
          <w:tcPr>
            <w:tcW w:w="66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Option Vesting</w:t>
            </w:r>
          </w:p>
        </w:tc>
        <w:tc>
          <w:tcPr>
            <w:tcW w:w="3140" w:type="dxa"/>
            <w:vAlign w:val="bottom"/>
          </w:tcPr>
          <w:p>
            <w:pPr>
              <w:jc w:val="center"/>
              <w:ind w:left="2841"/>
              <w:spacing w:after="0"/>
              <w:rPr>
                <w:sz w:val="20"/>
                <w:szCs w:val="20"/>
                <w:color w:val="auto"/>
              </w:rPr>
            </w:pPr>
            <w:r>
              <w:rPr>
                <w:rFonts w:ascii="Times New Roman" w:cs="Times New Roman" w:eastAsia="Times New Roman" w:hAnsi="Times New Roman"/>
                <w:sz w:val="20"/>
                <w:szCs w:val="20"/>
                <w:color w:val="auto"/>
                <w:w w:val="99"/>
              </w:rPr>
              <w:t>12</w:t>
            </w:r>
          </w:p>
        </w:tc>
      </w:tr>
      <w:tr>
        <w:trPr>
          <w:trHeight w:val="351"/>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5.4</w:t>
            </w:r>
          </w:p>
        </w:tc>
        <w:tc>
          <w:tcPr>
            <w:tcW w:w="66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Manner of Exercise</w:t>
            </w:r>
          </w:p>
        </w:tc>
        <w:tc>
          <w:tcPr>
            <w:tcW w:w="3140" w:type="dxa"/>
            <w:vAlign w:val="bottom"/>
          </w:tcPr>
          <w:p>
            <w:pPr>
              <w:jc w:val="center"/>
              <w:ind w:left="2841"/>
              <w:spacing w:after="0"/>
              <w:rPr>
                <w:sz w:val="20"/>
                <w:szCs w:val="20"/>
                <w:color w:val="auto"/>
              </w:rPr>
            </w:pPr>
            <w:r>
              <w:rPr>
                <w:rFonts w:ascii="Times New Roman" w:cs="Times New Roman" w:eastAsia="Times New Roman" w:hAnsi="Times New Roman"/>
                <w:sz w:val="20"/>
                <w:szCs w:val="20"/>
                <w:color w:val="auto"/>
                <w:w w:val="99"/>
              </w:rPr>
              <w:t>12</w:t>
            </w:r>
          </w:p>
        </w:tc>
      </w:tr>
      <w:tr>
        <w:trPr>
          <w:trHeight w:val="351"/>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5.5</w:t>
            </w:r>
          </w:p>
        </w:tc>
        <w:tc>
          <w:tcPr>
            <w:tcW w:w="66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Partial Exercise</w:t>
            </w:r>
          </w:p>
        </w:tc>
        <w:tc>
          <w:tcPr>
            <w:tcW w:w="3140" w:type="dxa"/>
            <w:vAlign w:val="bottom"/>
          </w:tcPr>
          <w:p>
            <w:pPr>
              <w:jc w:val="center"/>
              <w:ind w:left="2841"/>
              <w:spacing w:after="0"/>
              <w:rPr>
                <w:sz w:val="20"/>
                <w:szCs w:val="20"/>
                <w:color w:val="auto"/>
              </w:rPr>
            </w:pPr>
            <w:r>
              <w:rPr>
                <w:rFonts w:ascii="Times New Roman" w:cs="Times New Roman" w:eastAsia="Times New Roman" w:hAnsi="Times New Roman"/>
                <w:sz w:val="20"/>
                <w:szCs w:val="20"/>
                <w:color w:val="auto"/>
                <w:w w:val="99"/>
              </w:rPr>
              <w:t>13</w:t>
            </w:r>
          </w:p>
        </w:tc>
      </w:tr>
      <w:tr>
        <w:trPr>
          <w:trHeight w:val="351"/>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5.6</w:t>
            </w:r>
          </w:p>
        </w:tc>
        <w:tc>
          <w:tcPr>
            <w:tcW w:w="66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Option Term</w:t>
            </w:r>
          </w:p>
        </w:tc>
        <w:tc>
          <w:tcPr>
            <w:tcW w:w="3140" w:type="dxa"/>
            <w:vAlign w:val="bottom"/>
          </w:tcPr>
          <w:p>
            <w:pPr>
              <w:jc w:val="center"/>
              <w:ind w:left="2841"/>
              <w:spacing w:after="0"/>
              <w:rPr>
                <w:sz w:val="20"/>
                <w:szCs w:val="20"/>
                <w:color w:val="auto"/>
              </w:rPr>
            </w:pPr>
            <w:r>
              <w:rPr>
                <w:rFonts w:ascii="Times New Roman" w:cs="Times New Roman" w:eastAsia="Times New Roman" w:hAnsi="Times New Roman"/>
                <w:sz w:val="20"/>
                <w:szCs w:val="20"/>
                <w:color w:val="auto"/>
                <w:w w:val="99"/>
              </w:rPr>
              <w:t>13</w:t>
            </w:r>
          </w:p>
        </w:tc>
      </w:tr>
      <w:tr>
        <w:trPr>
          <w:trHeight w:val="351"/>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5.7</w:t>
            </w:r>
          </w:p>
        </w:tc>
        <w:tc>
          <w:tcPr>
            <w:tcW w:w="66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Qualification of Incentive Stock Options</w:t>
            </w:r>
          </w:p>
        </w:tc>
        <w:tc>
          <w:tcPr>
            <w:tcW w:w="3140" w:type="dxa"/>
            <w:vAlign w:val="bottom"/>
          </w:tcPr>
          <w:p>
            <w:pPr>
              <w:jc w:val="center"/>
              <w:ind w:left="2841"/>
              <w:spacing w:after="0"/>
              <w:rPr>
                <w:sz w:val="20"/>
                <w:szCs w:val="20"/>
                <w:color w:val="auto"/>
              </w:rPr>
            </w:pPr>
            <w:r>
              <w:rPr>
                <w:rFonts w:ascii="Times New Roman" w:cs="Times New Roman" w:eastAsia="Times New Roman" w:hAnsi="Times New Roman"/>
                <w:sz w:val="20"/>
                <w:szCs w:val="20"/>
                <w:color w:val="auto"/>
                <w:w w:val="99"/>
              </w:rPr>
              <w:t>13</w:t>
            </w:r>
          </w:p>
        </w:tc>
      </w:tr>
      <w:tr>
        <w:trPr>
          <w:trHeight w:val="351"/>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5.8</w:t>
            </w:r>
          </w:p>
        </w:tc>
        <w:tc>
          <w:tcPr>
            <w:tcW w:w="66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Notification Regarding Disposition</w:t>
            </w:r>
          </w:p>
        </w:tc>
        <w:tc>
          <w:tcPr>
            <w:tcW w:w="3140" w:type="dxa"/>
            <w:vAlign w:val="bottom"/>
          </w:tcPr>
          <w:p>
            <w:pPr>
              <w:jc w:val="center"/>
              <w:ind w:left="2841"/>
              <w:spacing w:after="0"/>
              <w:rPr>
                <w:sz w:val="20"/>
                <w:szCs w:val="20"/>
                <w:color w:val="auto"/>
              </w:rPr>
            </w:pPr>
            <w:r>
              <w:rPr>
                <w:rFonts w:ascii="Times New Roman" w:cs="Times New Roman" w:eastAsia="Times New Roman" w:hAnsi="Times New Roman"/>
                <w:sz w:val="20"/>
                <w:szCs w:val="20"/>
                <w:color w:val="auto"/>
                <w:w w:val="99"/>
              </w:rPr>
              <w:t>13</w:t>
            </w:r>
          </w:p>
        </w:tc>
      </w:tr>
      <w:tr>
        <w:trPr>
          <w:trHeight w:val="351"/>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5.9</w:t>
            </w:r>
          </w:p>
        </w:tc>
        <w:tc>
          <w:tcPr>
            <w:tcW w:w="66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Substitute Awards</w:t>
            </w:r>
          </w:p>
        </w:tc>
        <w:tc>
          <w:tcPr>
            <w:tcW w:w="3140" w:type="dxa"/>
            <w:vAlign w:val="bottom"/>
          </w:tcPr>
          <w:p>
            <w:pPr>
              <w:jc w:val="center"/>
              <w:ind w:left="2841"/>
              <w:spacing w:after="0"/>
              <w:rPr>
                <w:sz w:val="20"/>
                <w:szCs w:val="20"/>
                <w:color w:val="auto"/>
              </w:rPr>
            </w:pPr>
            <w:r>
              <w:rPr>
                <w:rFonts w:ascii="Times New Roman" w:cs="Times New Roman" w:eastAsia="Times New Roman" w:hAnsi="Times New Roman"/>
                <w:sz w:val="20"/>
                <w:szCs w:val="20"/>
                <w:color w:val="auto"/>
                <w:w w:val="99"/>
              </w:rPr>
              <w:t>13</w:t>
            </w:r>
          </w:p>
        </w:tc>
      </w:tr>
      <w:tr>
        <w:trPr>
          <w:trHeight w:val="351"/>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5.10</w:t>
            </w:r>
          </w:p>
        </w:tc>
        <w:tc>
          <w:tcPr>
            <w:tcW w:w="66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Modification, Extension or Renewal</w:t>
            </w:r>
          </w:p>
        </w:tc>
        <w:tc>
          <w:tcPr>
            <w:tcW w:w="3140" w:type="dxa"/>
            <w:vAlign w:val="bottom"/>
          </w:tcPr>
          <w:p>
            <w:pPr>
              <w:jc w:val="center"/>
              <w:ind w:left="2841"/>
              <w:spacing w:after="0"/>
              <w:rPr>
                <w:sz w:val="20"/>
                <w:szCs w:val="20"/>
                <w:color w:val="auto"/>
              </w:rPr>
            </w:pPr>
            <w:r>
              <w:rPr>
                <w:rFonts w:ascii="Times New Roman" w:cs="Times New Roman" w:eastAsia="Times New Roman" w:hAnsi="Times New Roman"/>
                <w:sz w:val="20"/>
                <w:szCs w:val="20"/>
                <w:color w:val="auto"/>
                <w:w w:val="99"/>
              </w:rPr>
              <w:t>13</w:t>
            </w:r>
          </w:p>
        </w:tc>
      </w:tr>
      <w:tr>
        <w:trPr>
          <w:trHeight w:val="351"/>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5.11</w:t>
            </w:r>
          </w:p>
        </w:tc>
        <w:tc>
          <w:tcPr>
            <w:tcW w:w="66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No Disqualification</w:t>
            </w:r>
          </w:p>
        </w:tc>
        <w:tc>
          <w:tcPr>
            <w:tcW w:w="3140" w:type="dxa"/>
            <w:vAlign w:val="bottom"/>
          </w:tcPr>
          <w:p>
            <w:pPr>
              <w:jc w:val="center"/>
              <w:ind w:left="2841"/>
              <w:spacing w:after="0"/>
              <w:rPr>
                <w:sz w:val="20"/>
                <w:szCs w:val="20"/>
                <w:color w:val="auto"/>
              </w:rPr>
            </w:pPr>
            <w:r>
              <w:rPr>
                <w:rFonts w:ascii="Times New Roman" w:cs="Times New Roman" w:eastAsia="Times New Roman" w:hAnsi="Times New Roman"/>
                <w:sz w:val="20"/>
                <w:szCs w:val="20"/>
                <w:color w:val="auto"/>
                <w:w w:val="99"/>
              </w:rPr>
              <w:t>14</w:t>
            </w:r>
          </w:p>
        </w:tc>
      </w:tr>
      <w:tr>
        <w:trPr>
          <w:trHeight w:val="351"/>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ARTICLE 6.</w:t>
            </w:r>
          </w:p>
        </w:tc>
        <w:tc>
          <w:tcPr>
            <w:tcW w:w="66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RESTRICTED STOCK</w:t>
            </w:r>
          </w:p>
        </w:tc>
        <w:tc>
          <w:tcPr>
            <w:tcW w:w="3140" w:type="dxa"/>
            <w:vAlign w:val="bottom"/>
          </w:tcPr>
          <w:p>
            <w:pPr>
              <w:jc w:val="center"/>
              <w:ind w:left="2841"/>
              <w:spacing w:after="0"/>
              <w:rPr>
                <w:sz w:val="20"/>
                <w:szCs w:val="20"/>
                <w:color w:val="auto"/>
              </w:rPr>
            </w:pPr>
            <w:r>
              <w:rPr>
                <w:rFonts w:ascii="Times New Roman" w:cs="Times New Roman" w:eastAsia="Times New Roman" w:hAnsi="Times New Roman"/>
                <w:sz w:val="20"/>
                <w:szCs w:val="20"/>
                <w:color w:val="auto"/>
                <w:w w:val="99"/>
              </w:rPr>
              <w:t>14</w:t>
            </w:r>
          </w:p>
        </w:tc>
      </w:tr>
    </w:tbl>
    <w:p>
      <w:pPr>
        <w:spacing w:after="0" w:line="200" w:lineRule="exact"/>
        <w:rPr>
          <w:sz w:val="20"/>
          <w:szCs w:val="20"/>
          <w:color w:val="auto"/>
        </w:rPr>
      </w:pPr>
    </w:p>
    <w:p>
      <w:pPr>
        <w:sectPr>
          <w:pgSz w:w="11900" w:h="16838" w:orient="portrait"/>
          <w:cols w:equalWidth="0" w:num="1">
            <w:col w:w="10980"/>
          </w:cols>
          <w:pgMar w:left="340" w:top="1035" w:right="579" w:bottom="1440" w:gutter="0" w:footer="0" w:header="0"/>
        </w:sectPr>
      </w:pPr>
    </w:p>
    <w:p>
      <w:pPr>
        <w:spacing w:after="0" w:line="28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color w:val="auto"/>
        </w:rPr>
        <w:t>ii</w:t>
      </w:r>
    </w:p>
    <w:p>
      <w:pPr>
        <w:sectPr>
          <w:pgSz w:w="11900" w:h="16838" w:orient="portrait"/>
          <w:cols w:equalWidth="0" w:num="1">
            <w:col w:w="10980"/>
          </w:cols>
          <w:pgMar w:left="340" w:top="1035" w:right="57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58"/>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6.1</w:t>
            </w:r>
          </w:p>
        </w:tc>
        <w:tc>
          <w:tcPr>
            <w:tcW w:w="71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Award of Restricted Stock</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6.2</w:t>
            </w:r>
          </w:p>
        </w:tc>
        <w:tc>
          <w:tcPr>
            <w:tcW w:w="71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Rights as Stockholders</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6.3</w:t>
            </w:r>
          </w:p>
        </w:tc>
        <w:tc>
          <w:tcPr>
            <w:tcW w:w="71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Restrictions</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6.4</w:t>
            </w:r>
          </w:p>
        </w:tc>
        <w:tc>
          <w:tcPr>
            <w:tcW w:w="71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Share Vesting</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6.5</w:t>
            </w:r>
          </w:p>
        </w:tc>
        <w:tc>
          <w:tcPr>
            <w:tcW w:w="71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Repurchase or Forfeiture of Restricted Stock</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6.6</w:t>
            </w:r>
          </w:p>
        </w:tc>
        <w:tc>
          <w:tcPr>
            <w:tcW w:w="71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Certificates for Restricted Stock</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6.7</w:t>
            </w:r>
          </w:p>
        </w:tc>
        <w:tc>
          <w:tcPr>
            <w:tcW w:w="71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Section 83(b) Election</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351"/>
        </w:trPr>
        <w:tc>
          <w:tcPr>
            <w:tcW w:w="8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7.   RESTRICTED STOCK UNITS</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7.1</w:t>
            </w:r>
          </w:p>
        </w:tc>
        <w:tc>
          <w:tcPr>
            <w:tcW w:w="71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Grant of Restricted Stock Units</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7.2</w:t>
            </w:r>
          </w:p>
        </w:tc>
        <w:tc>
          <w:tcPr>
            <w:tcW w:w="71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Term</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7.3</w:t>
            </w:r>
          </w:p>
        </w:tc>
        <w:tc>
          <w:tcPr>
            <w:tcW w:w="71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Purchase Price</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7.4</w:t>
            </w:r>
          </w:p>
        </w:tc>
        <w:tc>
          <w:tcPr>
            <w:tcW w:w="71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Vesting of Restricted Stock Units</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7.5</w:t>
            </w:r>
          </w:p>
        </w:tc>
        <w:tc>
          <w:tcPr>
            <w:tcW w:w="71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Maturity and Payment</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7.6</w:t>
            </w:r>
          </w:p>
        </w:tc>
        <w:tc>
          <w:tcPr>
            <w:tcW w:w="71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No Rights as a Stockholder</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351"/>
        </w:trPr>
        <w:tc>
          <w:tcPr>
            <w:tcW w:w="8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8.   PERFORMANCE AWARDS AND STOCK PAYMENTS</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8.1</w:t>
            </w:r>
          </w:p>
        </w:tc>
        <w:tc>
          <w:tcPr>
            <w:tcW w:w="71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Performance Awards</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8.2</w:t>
            </w:r>
          </w:p>
        </w:tc>
        <w:tc>
          <w:tcPr>
            <w:tcW w:w="71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Stock Payments</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8.3</w:t>
            </w:r>
          </w:p>
        </w:tc>
        <w:tc>
          <w:tcPr>
            <w:tcW w:w="71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Term</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8.4</w:t>
            </w:r>
          </w:p>
        </w:tc>
        <w:tc>
          <w:tcPr>
            <w:tcW w:w="71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Purchase Price</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8.5</w:t>
            </w:r>
          </w:p>
        </w:tc>
        <w:tc>
          <w:tcPr>
            <w:tcW w:w="71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Maturity and Vesting</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351"/>
        </w:trPr>
        <w:tc>
          <w:tcPr>
            <w:tcW w:w="8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9.   STOCK APPRECIATION RIGHTS</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9.1</w:t>
            </w:r>
          </w:p>
        </w:tc>
        <w:tc>
          <w:tcPr>
            <w:tcW w:w="71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Grant of Stock Appreciation Rights</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9.2</w:t>
            </w:r>
          </w:p>
        </w:tc>
        <w:tc>
          <w:tcPr>
            <w:tcW w:w="71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Stock Appreciation Right Vesting</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9.3</w:t>
            </w:r>
          </w:p>
        </w:tc>
        <w:tc>
          <w:tcPr>
            <w:tcW w:w="71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Manner of Exercise</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9.4</w:t>
            </w:r>
          </w:p>
        </w:tc>
        <w:tc>
          <w:tcPr>
            <w:tcW w:w="71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Stock Appreciation Right Term</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9.5</w:t>
            </w:r>
          </w:p>
        </w:tc>
        <w:tc>
          <w:tcPr>
            <w:tcW w:w="71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Payment</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r>
      <w:tr>
        <w:trPr>
          <w:trHeight w:val="351"/>
        </w:trPr>
        <w:tc>
          <w:tcPr>
            <w:tcW w:w="8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10.ADDITIONAL TERMS OF AWARDS</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10.1</w:t>
            </w:r>
          </w:p>
        </w:tc>
        <w:tc>
          <w:tcPr>
            <w:tcW w:w="71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Payment</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10.2</w:t>
            </w:r>
          </w:p>
        </w:tc>
        <w:tc>
          <w:tcPr>
            <w:tcW w:w="71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Tax Withholding</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10.3</w:t>
            </w:r>
          </w:p>
        </w:tc>
        <w:tc>
          <w:tcPr>
            <w:tcW w:w="71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Transferability of Awards</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351"/>
        </w:trPr>
        <w:tc>
          <w:tcPr>
            <w:tcW w:w="832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10.4   Conditions to Issuance of Shares</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351"/>
        </w:trPr>
        <w:tc>
          <w:tcPr>
            <w:tcW w:w="832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10.5   Forfeiture and Claw-Back Provisions</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351"/>
        </w:trPr>
        <w:tc>
          <w:tcPr>
            <w:tcW w:w="8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11.ADMINISTRATION</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11.1</w:t>
            </w:r>
          </w:p>
        </w:tc>
        <w:tc>
          <w:tcPr>
            <w:tcW w:w="71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Administrator</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351"/>
        </w:trPr>
        <w:tc>
          <w:tcPr>
            <w:tcW w:w="832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11.2   Duties and Powers of Committee</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351"/>
        </w:trPr>
        <w:tc>
          <w:tcPr>
            <w:tcW w:w="832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11.3   Action by the Committee</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11.4</w:t>
            </w:r>
          </w:p>
        </w:tc>
        <w:tc>
          <w:tcPr>
            <w:tcW w:w="71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Authority of Administrator</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351"/>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11.5</w:t>
            </w:r>
          </w:p>
        </w:tc>
        <w:tc>
          <w:tcPr>
            <w:tcW w:w="71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Decisions Binding</w:t>
            </w:r>
          </w:p>
        </w:tc>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r>
    </w:tbl>
    <w:p>
      <w:pPr>
        <w:spacing w:after="0" w:line="200" w:lineRule="exact"/>
        <w:rPr>
          <w:sz w:val="20"/>
          <w:szCs w:val="20"/>
          <w:color w:val="auto"/>
        </w:rPr>
      </w:pPr>
    </w:p>
    <w:p>
      <w:pPr>
        <w:sectPr>
          <w:pgSz w:w="11900" w:h="16838" w:orient="portrait"/>
          <w:cols w:equalWidth="0" w:num="1">
            <w:col w:w="10980"/>
          </w:cols>
          <w:pgMar w:left="340" w:top="1035" w:right="579" w:bottom="1440" w:gutter="0" w:footer="0" w:header="0"/>
        </w:sectPr>
      </w:pPr>
    </w:p>
    <w:p>
      <w:pPr>
        <w:spacing w:after="0" w:line="28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80"/>
          </w:cols>
          <w:pgMar w:left="340" w:top="1035" w:right="57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58"/>
        </w:trPr>
        <w:tc>
          <w:tcPr>
            <w:tcW w:w="11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11.6</w:t>
            </w:r>
          </w:p>
        </w:tc>
        <w:tc>
          <w:tcPr>
            <w:tcW w:w="20" w:type="dxa"/>
            <w:vAlign w:val="bottom"/>
          </w:tcPr>
          <w:p>
            <w:pPr>
              <w:spacing w:after="0"/>
              <w:rPr>
                <w:sz w:val="22"/>
                <w:szCs w:val="22"/>
                <w:color w:val="auto"/>
              </w:rPr>
            </w:pPr>
          </w:p>
        </w:tc>
        <w:tc>
          <w:tcPr>
            <w:tcW w:w="91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Delegation of Authority</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0" w:type="dxa"/>
            <w:vAlign w:val="bottom"/>
          </w:tcPr>
          <w:p>
            <w:pPr>
              <w:spacing w:after="0"/>
              <w:rPr>
                <w:sz w:val="1"/>
                <w:szCs w:val="1"/>
                <w:color w:val="auto"/>
              </w:rPr>
            </w:pPr>
          </w:p>
        </w:tc>
      </w:tr>
      <w:tr>
        <w:trPr>
          <w:trHeight w:val="351"/>
        </w:trPr>
        <w:tc>
          <w:tcPr>
            <w:tcW w:w="103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ARTICLE 12.MISCELLANEOUS PROVISIONS</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0" w:type="dxa"/>
            <w:vAlign w:val="bottom"/>
          </w:tcPr>
          <w:p>
            <w:pPr>
              <w:spacing w:after="0"/>
              <w:rPr>
                <w:sz w:val="1"/>
                <w:szCs w:val="1"/>
                <w:color w:val="auto"/>
              </w:rPr>
            </w:pPr>
          </w:p>
        </w:tc>
      </w:tr>
      <w:tr>
        <w:trPr>
          <w:trHeight w:val="351"/>
        </w:trPr>
        <w:tc>
          <w:tcPr>
            <w:tcW w:w="11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12.1</w:t>
            </w:r>
          </w:p>
        </w:tc>
        <w:tc>
          <w:tcPr>
            <w:tcW w:w="91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Amendment, Suspension or Termination of the Plan</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0" w:type="dxa"/>
            <w:vAlign w:val="bottom"/>
          </w:tcPr>
          <w:p>
            <w:pPr>
              <w:spacing w:after="0"/>
              <w:rPr>
                <w:sz w:val="1"/>
                <w:szCs w:val="1"/>
                <w:color w:val="auto"/>
              </w:rPr>
            </w:pPr>
          </w:p>
        </w:tc>
      </w:tr>
      <w:tr>
        <w:trPr>
          <w:trHeight w:val="336"/>
        </w:trPr>
        <w:tc>
          <w:tcPr>
            <w:tcW w:w="11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12.2</w:t>
            </w:r>
          </w:p>
        </w:tc>
        <w:tc>
          <w:tcPr>
            <w:tcW w:w="20" w:type="dxa"/>
            <w:vAlign w:val="bottom"/>
          </w:tcPr>
          <w:p>
            <w:pPr>
              <w:spacing w:after="0"/>
              <w:rPr>
                <w:sz w:val="24"/>
                <w:szCs w:val="24"/>
                <w:color w:val="auto"/>
              </w:rPr>
            </w:pPr>
          </w:p>
        </w:tc>
        <w:tc>
          <w:tcPr>
            <w:tcW w:w="9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Changes in Common Stock or Assets of the Company, Acquisition or Liquidation of the Company and Other</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0" w:type="dxa"/>
            <w:vAlign w:val="bottom"/>
          </w:tcPr>
          <w:p>
            <w:pPr>
              <w:spacing w:after="0"/>
              <w:rPr>
                <w:sz w:val="1"/>
                <w:szCs w:val="1"/>
                <w:color w:val="auto"/>
              </w:rPr>
            </w:pPr>
          </w:p>
        </w:tc>
      </w:tr>
      <w:tr>
        <w:trPr>
          <w:trHeight w:val="258"/>
        </w:trPr>
        <w:tc>
          <w:tcPr>
            <w:tcW w:w="1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Corporate Events</w:t>
            </w:r>
          </w:p>
        </w:tc>
        <w:tc>
          <w:tcPr>
            <w:tcW w:w="6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11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12.3</w:t>
            </w:r>
          </w:p>
        </w:tc>
        <w:tc>
          <w:tcPr>
            <w:tcW w:w="91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Approval of Plan by Stockholders</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0" w:type="dxa"/>
            <w:vAlign w:val="bottom"/>
          </w:tcPr>
          <w:p>
            <w:pPr>
              <w:spacing w:after="0"/>
              <w:rPr>
                <w:sz w:val="1"/>
                <w:szCs w:val="1"/>
                <w:color w:val="auto"/>
              </w:rPr>
            </w:pPr>
          </w:p>
        </w:tc>
      </w:tr>
      <w:tr>
        <w:trPr>
          <w:trHeight w:val="351"/>
        </w:trPr>
        <w:tc>
          <w:tcPr>
            <w:tcW w:w="11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12.4</w:t>
            </w:r>
          </w:p>
        </w:tc>
        <w:tc>
          <w:tcPr>
            <w:tcW w:w="20" w:type="dxa"/>
            <w:vAlign w:val="bottom"/>
          </w:tcPr>
          <w:p>
            <w:pPr>
              <w:spacing w:after="0"/>
              <w:rPr>
                <w:sz w:val="24"/>
                <w:szCs w:val="24"/>
                <w:color w:val="auto"/>
              </w:rPr>
            </w:pPr>
          </w:p>
        </w:tc>
        <w:tc>
          <w:tcPr>
            <w:tcW w:w="9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No Stockholders Rights</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0" w:type="dxa"/>
            <w:vAlign w:val="bottom"/>
          </w:tcPr>
          <w:p>
            <w:pPr>
              <w:spacing w:after="0"/>
              <w:rPr>
                <w:sz w:val="1"/>
                <w:szCs w:val="1"/>
                <w:color w:val="auto"/>
              </w:rPr>
            </w:pPr>
          </w:p>
        </w:tc>
      </w:tr>
      <w:tr>
        <w:trPr>
          <w:trHeight w:val="351"/>
        </w:trPr>
        <w:tc>
          <w:tcPr>
            <w:tcW w:w="11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12.5</w:t>
            </w:r>
          </w:p>
        </w:tc>
        <w:tc>
          <w:tcPr>
            <w:tcW w:w="20" w:type="dxa"/>
            <w:vAlign w:val="bottom"/>
          </w:tcPr>
          <w:p>
            <w:pPr>
              <w:spacing w:after="0"/>
              <w:rPr>
                <w:sz w:val="24"/>
                <w:szCs w:val="24"/>
                <w:color w:val="auto"/>
              </w:rPr>
            </w:pPr>
          </w:p>
        </w:tc>
        <w:tc>
          <w:tcPr>
            <w:tcW w:w="9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Paperless Administration</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0" w:type="dxa"/>
            <w:vAlign w:val="bottom"/>
          </w:tcPr>
          <w:p>
            <w:pPr>
              <w:spacing w:after="0"/>
              <w:rPr>
                <w:sz w:val="1"/>
                <w:szCs w:val="1"/>
                <w:color w:val="auto"/>
              </w:rPr>
            </w:pPr>
          </w:p>
        </w:tc>
      </w:tr>
      <w:tr>
        <w:trPr>
          <w:trHeight w:val="351"/>
        </w:trPr>
        <w:tc>
          <w:tcPr>
            <w:tcW w:w="11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12.6</w:t>
            </w:r>
          </w:p>
        </w:tc>
        <w:tc>
          <w:tcPr>
            <w:tcW w:w="20" w:type="dxa"/>
            <w:vAlign w:val="bottom"/>
          </w:tcPr>
          <w:p>
            <w:pPr>
              <w:spacing w:after="0"/>
              <w:rPr>
                <w:sz w:val="24"/>
                <w:szCs w:val="24"/>
                <w:color w:val="auto"/>
              </w:rPr>
            </w:pPr>
          </w:p>
        </w:tc>
        <w:tc>
          <w:tcPr>
            <w:tcW w:w="9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Effect of Plan upon Other Compensation Plans</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0" w:type="dxa"/>
            <w:vAlign w:val="bottom"/>
          </w:tcPr>
          <w:p>
            <w:pPr>
              <w:spacing w:after="0"/>
              <w:rPr>
                <w:sz w:val="1"/>
                <w:szCs w:val="1"/>
                <w:color w:val="auto"/>
              </w:rPr>
            </w:pPr>
          </w:p>
        </w:tc>
      </w:tr>
      <w:tr>
        <w:trPr>
          <w:trHeight w:val="351"/>
        </w:trPr>
        <w:tc>
          <w:tcPr>
            <w:tcW w:w="11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12.7</w:t>
            </w:r>
          </w:p>
        </w:tc>
        <w:tc>
          <w:tcPr>
            <w:tcW w:w="20" w:type="dxa"/>
            <w:vAlign w:val="bottom"/>
          </w:tcPr>
          <w:p>
            <w:pPr>
              <w:spacing w:after="0"/>
              <w:rPr>
                <w:sz w:val="24"/>
                <w:szCs w:val="24"/>
                <w:color w:val="auto"/>
              </w:rPr>
            </w:pPr>
          </w:p>
        </w:tc>
        <w:tc>
          <w:tcPr>
            <w:tcW w:w="9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Compliance with Laws</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0" w:type="dxa"/>
            <w:vAlign w:val="bottom"/>
          </w:tcPr>
          <w:p>
            <w:pPr>
              <w:spacing w:after="0"/>
              <w:rPr>
                <w:sz w:val="1"/>
                <w:szCs w:val="1"/>
                <w:color w:val="auto"/>
              </w:rPr>
            </w:pPr>
          </w:p>
        </w:tc>
      </w:tr>
      <w:tr>
        <w:trPr>
          <w:trHeight w:val="351"/>
        </w:trPr>
        <w:tc>
          <w:tcPr>
            <w:tcW w:w="11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12.8</w:t>
            </w:r>
          </w:p>
        </w:tc>
        <w:tc>
          <w:tcPr>
            <w:tcW w:w="91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Titles and Headings, References to Sections of the Code, Exchange Act or Securities Act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0" w:type="dxa"/>
            <w:vAlign w:val="bottom"/>
          </w:tcPr>
          <w:p>
            <w:pPr>
              <w:spacing w:after="0"/>
              <w:rPr>
                <w:sz w:val="1"/>
                <w:szCs w:val="1"/>
                <w:color w:val="auto"/>
              </w:rPr>
            </w:pPr>
          </w:p>
        </w:tc>
      </w:tr>
      <w:tr>
        <w:trPr>
          <w:trHeight w:val="351"/>
        </w:trPr>
        <w:tc>
          <w:tcPr>
            <w:tcW w:w="11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12.9</w:t>
            </w:r>
          </w:p>
        </w:tc>
        <w:tc>
          <w:tcPr>
            <w:tcW w:w="20" w:type="dxa"/>
            <w:vAlign w:val="bottom"/>
          </w:tcPr>
          <w:p>
            <w:pPr>
              <w:spacing w:after="0"/>
              <w:rPr>
                <w:sz w:val="24"/>
                <w:szCs w:val="24"/>
                <w:color w:val="auto"/>
              </w:rPr>
            </w:pPr>
          </w:p>
        </w:tc>
        <w:tc>
          <w:tcPr>
            <w:tcW w:w="9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Governing Law</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0" w:type="dxa"/>
            <w:vAlign w:val="bottom"/>
          </w:tcPr>
          <w:p>
            <w:pPr>
              <w:spacing w:after="0"/>
              <w:rPr>
                <w:sz w:val="1"/>
                <w:szCs w:val="1"/>
                <w:color w:val="auto"/>
              </w:rPr>
            </w:pPr>
          </w:p>
        </w:tc>
      </w:tr>
      <w:tr>
        <w:trPr>
          <w:trHeight w:val="351"/>
        </w:trPr>
        <w:tc>
          <w:tcPr>
            <w:tcW w:w="12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12.10</w:t>
            </w:r>
          </w:p>
        </w:tc>
        <w:tc>
          <w:tcPr>
            <w:tcW w:w="9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Securities Law and Other Regulatory Compliance</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0" w:type="dxa"/>
            <w:vAlign w:val="bottom"/>
          </w:tcPr>
          <w:p>
            <w:pPr>
              <w:spacing w:after="0"/>
              <w:rPr>
                <w:sz w:val="1"/>
                <w:szCs w:val="1"/>
                <w:color w:val="auto"/>
              </w:rPr>
            </w:pPr>
          </w:p>
        </w:tc>
      </w:tr>
      <w:tr>
        <w:trPr>
          <w:trHeight w:val="351"/>
        </w:trPr>
        <w:tc>
          <w:tcPr>
            <w:tcW w:w="11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12.11</w:t>
            </w:r>
          </w:p>
        </w:tc>
        <w:tc>
          <w:tcPr>
            <w:tcW w:w="20" w:type="dxa"/>
            <w:vAlign w:val="bottom"/>
          </w:tcPr>
          <w:p>
            <w:pPr>
              <w:spacing w:after="0"/>
              <w:rPr>
                <w:sz w:val="24"/>
                <w:szCs w:val="24"/>
                <w:color w:val="auto"/>
              </w:rPr>
            </w:pPr>
          </w:p>
        </w:tc>
        <w:tc>
          <w:tcPr>
            <w:tcW w:w="91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Section 409A</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0" w:type="dxa"/>
            <w:vAlign w:val="bottom"/>
          </w:tcPr>
          <w:p>
            <w:pPr>
              <w:spacing w:after="0"/>
              <w:rPr>
                <w:sz w:val="1"/>
                <w:szCs w:val="1"/>
                <w:color w:val="auto"/>
              </w:rPr>
            </w:pPr>
          </w:p>
        </w:tc>
      </w:tr>
      <w:tr>
        <w:trPr>
          <w:trHeight w:val="351"/>
        </w:trPr>
        <w:tc>
          <w:tcPr>
            <w:tcW w:w="12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12.12</w:t>
            </w:r>
          </w:p>
        </w:tc>
        <w:tc>
          <w:tcPr>
            <w:tcW w:w="9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No Rights to Awards</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0" w:type="dxa"/>
            <w:vAlign w:val="bottom"/>
          </w:tcPr>
          <w:p>
            <w:pPr>
              <w:spacing w:after="0"/>
              <w:rPr>
                <w:sz w:val="1"/>
                <w:szCs w:val="1"/>
                <w:color w:val="auto"/>
              </w:rPr>
            </w:pPr>
          </w:p>
        </w:tc>
      </w:tr>
      <w:tr>
        <w:trPr>
          <w:trHeight w:val="351"/>
        </w:trPr>
        <w:tc>
          <w:tcPr>
            <w:tcW w:w="12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12.13</w:t>
            </w:r>
          </w:p>
        </w:tc>
        <w:tc>
          <w:tcPr>
            <w:tcW w:w="9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Unfunded Status of Awards</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0" w:type="dxa"/>
            <w:vAlign w:val="bottom"/>
          </w:tcPr>
          <w:p>
            <w:pPr>
              <w:spacing w:after="0"/>
              <w:rPr>
                <w:sz w:val="1"/>
                <w:szCs w:val="1"/>
                <w:color w:val="auto"/>
              </w:rPr>
            </w:pPr>
          </w:p>
        </w:tc>
      </w:tr>
      <w:tr>
        <w:trPr>
          <w:trHeight w:val="351"/>
        </w:trPr>
        <w:tc>
          <w:tcPr>
            <w:tcW w:w="12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12.14</w:t>
            </w:r>
          </w:p>
        </w:tc>
        <w:tc>
          <w:tcPr>
            <w:tcW w:w="9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Indemnification</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0" w:type="dxa"/>
            <w:vAlign w:val="bottom"/>
          </w:tcPr>
          <w:p>
            <w:pPr>
              <w:spacing w:after="0"/>
              <w:rPr>
                <w:sz w:val="1"/>
                <w:szCs w:val="1"/>
                <w:color w:val="auto"/>
              </w:rPr>
            </w:pPr>
          </w:p>
        </w:tc>
      </w:tr>
      <w:tr>
        <w:trPr>
          <w:trHeight w:val="351"/>
        </w:trPr>
        <w:tc>
          <w:tcPr>
            <w:tcW w:w="12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12.15</w:t>
            </w:r>
          </w:p>
        </w:tc>
        <w:tc>
          <w:tcPr>
            <w:tcW w:w="9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Relationship to other Benefits</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0" w:type="dxa"/>
            <w:vAlign w:val="bottom"/>
          </w:tcPr>
          <w:p>
            <w:pPr>
              <w:spacing w:after="0"/>
              <w:rPr>
                <w:sz w:val="1"/>
                <w:szCs w:val="1"/>
                <w:color w:val="auto"/>
              </w:rPr>
            </w:pPr>
          </w:p>
        </w:tc>
      </w:tr>
      <w:tr>
        <w:trPr>
          <w:trHeight w:val="351"/>
        </w:trPr>
        <w:tc>
          <w:tcPr>
            <w:tcW w:w="12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12.16</w:t>
            </w:r>
          </w:p>
        </w:tc>
        <w:tc>
          <w:tcPr>
            <w:tcW w:w="9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Expenses</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0" w:type="dxa"/>
            <w:vAlign w:val="bottom"/>
          </w:tcPr>
          <w:p>
            <w:pPr>
              <w:spacing w:after="0"/>
              <w:rPr>
                <w:sz w:val="1"/>
                <w:szCs w:val="1"/>
                <w:color w:val="auto"/>
              </w:rPr>
            </w:pPr>
          </w:p>
        </w:tc>
      </w:tr>
      <w:tr>
        <w:trPr>
          <w:trHeight w:val="351"/>
        </w:trPr>
        <w:tc>
          <w:tcPr>
            <w:tcW w:w="12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12.17</w:t>
            </w:r>
          </w:p>
        </w:tc>
        <w:tc>
          <w:tcPr>
            <w:tcW w:w="9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Escrow; Pledge of Shares</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0" w:type="dxa"/>
            <w:vAlign w:val="bottom"/>
          </w:tcPr>
          <w:p>
            <w:pPr>
              <w:spacing w:after="0"/>
              <w:rPr>
                <w:sz w:val="1"/>
                <w:szCs w:val="1"/>
                <w:color w:val="auto"/>
              </w:rPr>
            </w:pPr>
          </w:p>
        </w:tc>
      </w:tr>
      <w:tr>
        <w:trPr>
          <w:trHeight w:val="351"/>
        </w:trPr>
        <w:tc>
          <w:tcPr>
            <w:tcW w:w="12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12.18</w:t>
            </w:r>
          </w:p>
        </w:tc>
        <w:tc>
          <w:tcPr>
            <w:tcW w:w="9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No Obligation to Employ</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0" w:type="dxa"/>
            <w:vAlign w:val="bottom"/>
          </w:tcPr>
          <w:p>
            <w:pPr>
              <w:spacing w:after="0"/>
              <w:rPr>
                <w:sz w:val="1"/>
                <w:szCs w:val="1"/>
                <w:color w:val="auto"/>
              </w:rPr>
            </w:pPr>
          </w:p>
        </w:tc>
      </w:tr>
      <w:tr>
        <w:trPr>
          <w:trHeight w:val="351"/>
        </w:trPr>
        <w:tc>
          <w:tcPr>
            <w:tcW w:w="12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12.19</w:t>
            </w:r>
          </w:p>
        </w:tc>
        <w:tc>
          <w:tcPr>
            <w:tcW w:w="9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Insider Trading Policy</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980"/>
          </w:cols>
          <w:pgMar w:left="340" w:top="1035" w:right="57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0"/>
          <w:szCs w:val="20"/>
          <w:b w:val="1"/>
          <w:bCs w:val="1"/>
          <w:color w:val="auto"/>
        </w:rPr>
        <w:t>GLOBUS MEDICAL, INC.</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2021 EQUITY INCENTIVE PLAN</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PURPOSE</w:t>
      </w:r>
    </w:p>
    <w:p>
      <w:pPr>
        <w:spacing w:after="0" w:line="2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purpose of the Globus Medical, Inc. 2021 Equity Incentive Plan (as it may be amended or restated from time to time,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is to promote the success and enhance the value of Globus Medical,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by linking the individual interests of the Non-Employee Directors, Employees, and Consultants to those of Company stockholders and by providing such individuals with an incentive for outstanding performance to generate superior returns to Company stockholders. The Plan is further intended to provide flexibility to the Company in its ability to motivate, attract, and retain the services of Non-Employee Directors, Employees, and Consultants upon whose judgment, interest, and special effort the successful conduct of the Company’s operation is largely dependent. The Plan provides a mechanism through which the Company may grant equity and equity-based awards as well as cash bonus and other cash awards to Eligible Individuals.</w:t>
      </w:r>
    </w:p>
    <w:p>
      <w:pPr>
        <w:spacing w:after="0" w:line="17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The Plan is a successor to the Prior Plan (as defined below). No additional grants shall made under the Prior Plan after the Effective Date. Outstanding grants under the Prior Plan shall continue in effect according to their terms, consistent with the applicable terms of the Prior Plan.</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2.</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DEFINITIONS AND CONSTRUCTION</w:t>
      </w:r>
    </w:p>
    <w:p>
      <w:pPr>
        <w:spacing w:after="0" w:line="211"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Wherever the following terms are used in the Plan they shall have the meanings specified below, unless the context clearly indicates otherwise. The singular pronoun shall include the plural where the context so indicates.</w:t>
      </w:r>
    </w:p>
    <w:p>
      <w:pPr>
        <w:spacing w:after="0" w:line="75" w:lineRule="exact"/>
        <w:rPr>
          <w:sz w:val="20"/>
          <w:szCs w:val="20"/>
          <w:color w:val="auto"/>
        </w:rPr>
      </w:pPr>
    </w:p>
    <w:p>
      <w:pPr>
        <w:ind w:right="220" w:firstLine="648"/>
        <w:spacing w:after="0" w:line="260" w:lineRule="auto"/>
        <w:rPr>
          <w:sz w:val="20"/>
          <w:szCs w:val="20"/>
          <w:color w:val="auto"/>
        </w:rPr>
      </w:pPr>
      <w:r>
        <w:rPr>
          <w:rFonts w:ascii="Times New Roman" w:cs="Times New Roman" w:eastAsia="Times New Roman" w:hAnsi="Times New Roman"/>
          <w:sz w:val="20"/>
          <w:szCs w:val="20"/>
          <w:color w:val="auto"/>
        </w:rPr>
        <w:t>2.1 “</w:t>
      </w:r>
      <w:r>
        <w:rPr>
          <w:rFonts w:ascii="Times New Roman" w:cs="Times New Roman" w:eastAsia="Times New Roman" w:hAnsi="Times New Roman"/>
          <w:sz w:val="20"/>
          <w:szCs w:val="20"/>
          <w:b w:val="1"/>
          <w:bCs w:val="1"/>
          <w:i w:val="1"/>
          <w:iCs w:val="1"/>
          <w:color w:val="auto"/>
        </w:rPr>
        <w:t>Administrator</w:t>
      </w:r>
      <w:r>
        <w:rPr>
          <w:rFonts w:ascii="Times New Roman" w:cs="Times New Roman" w:eastAsia="Times New Roman" w:hAnsi="Times New Roman"/>
          <w:sz w:val="20"/>
          <w:szCs w:val="20"/>
          <w:color w:val="auto"/>
        </w:rPr>
        <w:t>” shall mean the entity that conducts the general administration of the Plan as provided in Article 11. With reference to the duties of the Committee under the Plan which have been delegated to one or more persons pursuant to Section 11.6, or that the Board has assumed, the term “Administrator” shall refer to such person(s) or the Board unless such delegation has been revoked or the Board has terminated the assumption of such duties.</w:t>
      </w:r>
    </w:p>
    <w:p>
      <w:pPr>
        <w:spacing w:after="0" w:line="97" w:lineRule="exact"/>
        <w:rPr>
          <w:sz w:val="20"/>
          <w:szCs w:val="20"/>
          <w:color w:val="auto"/>
        </w:rPr>
      </w:pPr>
    </w:p>
    <w:p>
      <w:pPr>
        <w:jc w:val="both"/>
        <w:ind w:right="320" w:firstLine="648"/>
        <w:spacing w:after="0" w:line="270" w:lineRule="auto"/>
        <w:rPr>
          <w:sz w:val="20"/>
          <w:szCs w:val="20"/>
          <w:color w:val="auto"/>
        </w:rPr>
      </w:pPr>
      <w:r>
        <w:rPr>
          <w:rFonts w:ascii="Times New Roman" w:cs="Times New Roman" w:eastAsia="Times New Roman" w:hAnsi="Times New Roman"/>
          <w:sz w:val="20"/>
          <w:szCs w:val="20"/>
          <w:color w:val="auto"/>
        </w:rPr>
        <w:t>2.2 “</w:t>
      </w:r>
      <w:r>
        <w:rPr>
          <w:rFonts w:ascii="Times New Roman" w:cs="Times New Roman" w:eastAsia="Times New Roman" w:hAnsi="Times New Roman"/>
          <w:sz w:val="20"/>
          <w:szCs w:val="20"/>
          <w:b w:val="1"/>
          <w:bCs w:val="1"/>
          <w:i w:val="1"/>
          <w:iCs w:val="1"/>
          <w:color w:val="auto"/>
        </w:rPr>
        <w:t>Applicable Accounting Standards</w:t>
      </w:r>
      <w:r>
        <w:rPr>
          <w:rFonts w:ascii="Times New Roman" w:cs="Times New Roman" w:eastAsia="Times New Roman" w:hAnsi="Times New Roman"/>
          <w:sz w:val="20"/>
          <w:szCs w:val="20"/>
          <w:color w:val="auto"/>
        </w:rPr>
        <w:t>” shall mean Generally Accepted Accounting Principles in the United States, International Financial Reporting Standards or such other accounting principles or standards as may apply to the Company’s financial statements under United States federal securities laws from time to time.</w:t>
      </w:r>
    </w:p>
    <w:p>
      <w:pPr>
        <w:spacing w:after="0" w:line="88" w:lineRule="exact"/>
        <w:rPr>
          <w:sz w:val="20"/>
          <w:szCs w:val="20"/>
          <w:color w:val="auto"/>
        </w:rPr>
      </w:pPr>
    </w:p>
    <w:p>
      <w:pPr>
        <w:ind w:right="40" w:firstLine="648"/>
        <w:spacing w:after="0" w:line="263" w:lineRule="auto"/>
        <w:rPr>
          <w:sz w:val="20"/>
          <w:szCs w:val="20"/>
          <w:color w:val="auto"/>
        </w:rPr>
      </w:pPr>
      <w:r>
        <w:rPr>
          <w:rFonts w:ascii="Times New Roman" w:cs="Times New Roman" w:eastAsia="Times New Roman" w:hAnsi="Times New Roman"/>
          <w:sz w:val="20"/>
          <w:szCs w:val="20"/>
          <w:color w:val="auto"/>
        </w:rPr>
        <w:t>2.3 “</w:t>
      </w:r>
      <w:r>
        <w:rPr>
          <w:rFonts w:ascii="Times New Roman" w:cs="Times New Roman" w:eastAsia="Times New Roman" w:hAnsi="Times New Roman"/>
          <w:sz w:val="20"/>
          <w:szCs w:val="20"/>
          <w:b w:val="1"/>
          <w:bCs w:val="1"/>
          <w:i w:val="1"/>
          <w:iCs w:val="1"/>
          <w:color w:val="auto"/>
        </w:rPr>
        <w:t>Applicable Law</w:t>
      </w:r>
      <w:r>
        <w:rPr>
          <w:rFonts w:ascii="Times New Roman" w:cs="Times New Roman" w:eastAsia="Times New Roman" w:hAnsi="Times New Roman"/>
          <w:sz w:val="20"/>
          <w:szCs w:val="20"/>
          <w:color w:val="auto"/>
        </w:rPr>
        <w:t>” shall mean the applicable provisions of the Code, the Securities Act, the Exchange Act and any other federal, state or foreign corporate, securities or tax or other laws, rules, requirements or regulations, the rules of any securities exchange or automated quotation system on which the Shares are listed, quoted or traded and any other applicable law.</w:t>
      </w:r>
    </w:p>
    <w:p>
      <w:pPr>
        <w:spacing w:after="0" w:line="94" w:lineRule="exact"/>
        <w:rPr>
          <w:sz w:val="20"/>
          <w:szCs w:val="20"/>
          <w:color w:val="auto"/>
        </w:rPr>
      </w:pPr>
    </w:p>
    <w:p>
      <w:pPr>
        <w:ind w:right="60" w:firstLine="648"/>
        <w:spacing w:after="0" w:line="287" w:lineRule="auto"/>
        <w:rPr>
          <w:sz w:val="20"/>
          <w:szCs w:val="20"/>
          <w:color w:val="auto"/>
        </w:rPr>
      </w:pPr>
      <w:r>
        <w:rPr>
          <w:rFonts w:ascii="Times New Roman" w:cs="Times New Roman" w:eastAsia="Times New Roman" w:hAnsi="Times New Roman"/>
          <w:sz w:val="20"/>
          <w:szCs w:val="20"/>
          <w:color w:val="auto"/>
        </w:rPr>
        <w:t>2.4 “</w:t>
      </w:r>
      <w:r>
        <w:rPr>
          <w:rFonts w:ascii="Times New Roman" w:cs="Times New Roman" w:eastAsia="Times New Roman" w:hAnsi="Times New Roman"/>
          <w:sz w:val="20"/>
          <w:szCs w:val="20"/>
          <w:b w:val="1"/>
          <w:bCs w:val="1"/>
          <w:i w:val="1"/>
          <w:iCs w:val="1"/>
          <w:color w:val="auto"/>
        </w:rPr>
        <w:t>Award</w:t>
      </w:r>
      <w:r>
        <w:rPr>
          <w:rFonts w:ascii="Times New Roman" w:cs="Times New Roman" w:eastAsia="Times New Roman" w:hAnsi="Times New Roman"/>
          <w:sz w:val="20"/>
          <w:szCs w:val="20"/>
          <w:color w:val="auto"/>
        </w:rPr>
        <w:t>” shall mean an Option, a Restricted Stock award, a Restricted Stock Unit award, a Performance Award, a Stock Payment award or a Stock Appreciation Right, which may be awarded or granted under the Plan (collectively, “</w:t>
      </w:r>
      <w:r>
        <w:rPr>
          <w:rFonts w:ascii="Times New Roman" w:cs="Times New Roman" w:eastAsia="Times New Roman" w:hAnsi="Times New Roman"/>
          <w:sz w:val="20"/>
          <w:szCs w:val="20"/>
          <w:b w:val="1"/>
          <w:bCs w:val="1"/>
          <w:i w:val="1"/>
          <w:iCs w:val="1"/>
          <w:color w:val="auto"/>
        </w:rPr>
        <w:t>Awards</w:t>
      </w:r>
      <w:r>
        <w:rPr>
          <w:rFonts w:ascii="Times New Roman" w:cs="Times New Roman" w:eastAsia="Times New Roman" w:hAnsi="Times New Roman"/>
          <w:sz w:val="20"/>
          <w:szCs w:val="20"/>
          <w:color w:val="auto"/>
        </w:rPr>
        <w:t>”).</w:t>
      </w:r>
    </w:p>
    <w:p>
      <w:pPr>
        <w:spacing w:after="0" w:line="71" w:lineRule="exact"/>
        <w:rPr>
          <w:sz w:val="20"/>
          <w:szCs w:val="20"/>
          <w:color w:val="auto"/>
        </w:rPr>
      </w:pPr>
    </w:p>
    <w:p>
      <w:pPr>
        <w:jc w:val="both"/>
        <w:ind w:right="240" w:firstLine="648"/>
        <w:spacing w:after="0" w:line="263" w:lineRule="auto"/>
        <w:rPr>
          <w:sz w:val="20"/>
          <w:szCs w:val="20"/>
          <w:color w:val="auto"/>
        </w:rPr>
      </w:pPr>
      <w:r>
        <w:rPr>
          <w:rFonts w:ascii="Times New Roman" w:cs="Times New Roman" w:eastAsia="Times New Roman" w:hAnsi="Times New Roman"/>
          <w:sz w:val="20"/>
          <w:szCs w:val="20"/>
          <w:color w:val="auto"/>
        </w:rPr>
        <w:t>2.5 “</w:t>
      </w:r>
      <w:r>
        <w:rPr>
          <w:rFonts w:ascii="Times New Roman" w:cs="Times New Roman" w:eastAsia="Times New Roman" w:hAnsi="Times New Roman"/>
          <w:sz w:val="20"/>
          <w:szCs w:val="20"/>
          <w:b w:val="1"/>
          <w:bCs w:val="1"/>
          <w:i w:val="1"/>
          <w:iCs w:val="1"/>
          <w:color w:val="auto"/>
        </w:rPr>
        <w:t>Award Agreement</w:t>
      </w:r>
      <w:r>
        <w:rPr>
          <w:rFonts w:ascii="Times New Roman" w:cs="Times New Roman" w:eastAsia="Times New Roman" w:hAnsi="Times New Roman"/>
          <w:sz w:val="20"/>
          <w:szCs w:val="20"/>
          <w:color w:val="auto"/>
        </w:rPr>
        <w:t>” shall mean any written notice, agreement, terms and conditions, contract or other instrument or document evidencing an Award, including through electronic medium, which shall contain such terms and conditions with respect to an Award as the Administrator shall determine consistent with the Plan.</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2.6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shall mean the Board of Directors of the Company.</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2.7 “</w:t>
      </w:r>
      <w:r>
        <w:rPr>
          <w:rFonts w:ascii="Times New Roman" w:cs="Times New Roman" w:eastAsia="Times New Roman" w:hAnsi="Times New Roman"/>
          <w:sz w:val="20"/>
          <w:szCs w:val="20"/>
          <w:b w:val="1"/>
          <w:bCs w:val="1"/>
          <w:i w:val="1"/>
          <w:iCs w:val="1"/>
          <w:color w:val="auto"/>
        </w:rPr>
        <w:t>Change in Control</w:t>
      </w:r>
      <w:r>
        <w:rPr>
          <w:rFonts w:ascii="Times New Roman" w:cs="Times New Roman" w:eastAsia="Times New Roman" w:hAnsi="Times New Roman"/>
          <w:sz w:val="20"/>
          <w:szCs w:val="20"/>
          <w:color w:val="auto"/>
        </w:rPr>
        <w:t>” shall mean and includes each of the following:</w:t>
      </w:r>
    </w:p>
    <w:p>
      <w:pPr>
        <w:spacing w:after="0" w:line="152" w:lineRule="exact"/>
        <w:rPr>
          <w:sz w:val="20"/>
          <w:szCs w:val="20"/>
          <w:color w:val="auto"/>
        </w:rPr>
      </w:pPr>
    </w:p>
    <w:p>
      <w:pPr>
        <w:ind w:firstLine="1278"/>
        <w:spacing w:after="0" w:line="283" w:lineRule="auto"/>
        <w:tabs>
          <w:tab w:leader="none" w:pos="1935"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transaction or series of transactions (other than an offering of Common Stock to the general public through a registration statement filed with the Securities and Exchange Commission) whereby any “person” or</w:t>
      </w:r>
    </w:p>
    <w:p>
      <w:pPr>
        <w:sectPr>
          <w:pgSz w:w="11900" w:h="16838" w:orient="portrait"/>
          <w:cols w:equalWidth="0" w:num="1">
            <w:col w:w="11240"/>
          </w:cols>
          <w:pgMar w:left="320" w:top="977" w:right="339" w:bottom="1440" w:gutter="0" w:footer="0" w:header="0"/>
        </w:sectPr>
      </w:pPr>
    </w:p>
    <w:bookmarkStart w:id="10" w:name="page11"/>
    <w:bookmarkEnd w:id="10"/>
    <w:p>
      <w:pPr>
        <w:jc w:val="both"/>
        <w:spacing w:after="0" w:line="253" w:lineRule="auto"/>
        <w:rPr>
          <w:sz w:val="20"/>
          <w:szCs w:val="20"/>
          <w:color w:val="auto"/>
        </w:rPr>
      </w:pPr>
      <w:r>
        <w:rPr>
          <w:rFonts w:ascii="Times New Roman" w:cs="Times New Roman" w:eastAsia="Times New Roman" w:hAnsi="Times New Roman"/>
          <w:sz w:val="20"/>
          <w:szCs w:val="20"/>
          <w:color w:val="auto"/>
        </w:rPr>
        <w:t>related “group” of “persons” (as such terms are used in Sections 13(d) and 14(d)(2) of the Exchange Act)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50% of the total combined voting power of the Company’s securities outstanding immediately after such acquisition; or</w:t>
      </w:r>
    </w:p>
    <w:p>
      <w:pPr>
        <w:spacing w:after="0" w:line="124" w:lineRule="exact"/>
        <w:rPr>
          <w:sz w:val="20"/>
          <w:szCs w:val="20"/>
          <w:color w:val="auto"/>
        </w:rPr>
      </w:pPr>
    </w:p>
    <w:p>
      <w:pPr>
        <w:jc w:val="both"/>
        <w:ind w:firstLine="1278"/>
        <w:spacing w:after="0" w:line="253" w:lineRule="auto"/>
        <w:tabs>
          <w:tab w:leader="none" w:pos="1933"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any period of two consecutive years, individuals who, at the beginning of such period, constitute the Board together with any new Director(s) (other than a Director designated by a person who shall have entered into an agreement with the Company to effect a transaction described in Section 2.7(a) or Section 2.7(c)) whose election by the Board or nomination for election by the Company’s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or</w:t>
      </w:r>
    </w:p>
    <w:p>
      <w:pPr>
        <w:spacing w:after="0" w:line="111" w:lineRule="exact"/>
        <w:rPr>
          <w:rFonts w:ascii="Times New Roman" w:cs="Times New Roman" w:eastAsia="Times New Roman" w:hAnsi="Times New Roman"/>
          <w:sz w:val="20"/>
          <w:szCs w:val="20"/>
          <w:color w:val="auto"/>
        </w:rPr>
      </w:pPr>
    </w:p>
    <w:p>
      <w:pPr>
        <w:jc w:val="both"/>
        <w:ind w:firstLine="1278"/>
        <w:spacing w:after="0" w:line="258" w:lineRule="auto"/>
        <w:tabs>
          <w:tab w:leader="none" w:pos="1935"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w:t>
      </w:r>
    </w:p>
    <w:p>
      <w:pPr>
        <w:spacing w:after="0" w:line="104" w:lineRule="exact"/>
        <w:rPr>
          <w:rFonts w:ascii="Times New Roman" w:cs="Times New Roman" w:eastAsia="Times New Roman" w:hAnsi="Times New Roman"/>
          <w:sz w:val="20"/>
          <w:szCs w:val="20"/>
          <w:color w:val="auto"/>
        </w:rPr>
      </w:pPr>
    </w:p>
    <w:p>
      <w:pPr>
        <w:jc w:val="both"/>
        <w:ind w:firstLine="1952"/>
        <w:spacing w:after="0" w:line="253" w:lineRule="auto"/>
        <w:tabs>
          <w:tab w:leader="none" w:pos="2590" w:val="left"/>
        </w:tabs>
        <w:numPr>
          <w:ilvl w:val="2"/>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Times New Roman" w:cs="Times New Roman" w:eastAsia="Times New Roman" w:hAnsi="Times New Roman"/>
          <w:sz w:val="20"/>
          <w:szCs w:val="20"/>
          <w:b w:val="1"/>
          <w:bCs w:val="1"/>
          <w:i w:val="1"/>
          <w:iCs w:val="1"/>
          <w:color w:val="auto"/>
        </w:rPr>
        <w:t>Successor Entity</w:t>
      </w:r>
      <w:r>
        <w:rPr>
          <w:rFonts w:ascii="Times New Roman" w:cs="Times New Roman" w:eastAsia="Times New Roman" w:hAnsi="Times New Roman"/>
          <w:sz w:val="20"/>
          <w:szCs w:val="20"/>
          <w:color w:val="auto"/>
        </w:rPr>
        <w:t>”)) directly or indirectly, at least a majority of the combined voting power of the Successor Entity’s outstanding voting securities immediately after the transaction, and</w:t>
      </w:r>
    </w:p>
    <w:p>
      <w:pPr>
        <w:spacing w:after="0" w:line="124"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2"/>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which no “person” or “related” group of “persons” (as such terms are used in Sections 13(d) and 14(d)</w:t>
      </w:r>
    </w:p>
    <w:p>
      <w:pPr>
        <w:spacing w:after="0" w:line="21"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Exchange Act) beneficially owns voting securities representing 50% or more of the combined voting power of the Successor</w:t>
      </w:r>
    </w:p>
    <w:p>
      <w:pPr>
        <w:spacing w:after="0" w:line="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Entity;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 person or related group of persons shall be treated for purposes of this Section 2.7(c)(ii) as beneficially owning 50% or more of the combined voting power of the Successor Entity solely as a result of the voting power held in the Company prior to the consummation of the transaction; or</w:t>
      </w:r>
    </w:p>
    <w:p>
      <w:pPr>
        <w:spacing w:after="0" w:line="108" w:lineRule="exact"/>
        <w:rPr>
          <w:sz w:val="20"/>
          <w:szCs w:val="20"/>
          <w:color w:val="auto"/>
        </w:rPr>
      </w:pPr>
    </w:p>
    <w:p>
      <w:pPr>
        <w:ind w:left="1940" w:hanging="662"/>
        <w:spacing w:after="0"/>
        <w:tabs>
          <w:tab w:leader="none" w:pos="19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stockholders approve a liquidation or dissolution of the Company.</w:t>
      </w:r>
    </w:p>
    <w:p>
      <w:pPr>
        <w:spacing w:after="0" w:line="14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In addition, if a Change in Control constitutes a payment event with respect to any Award which provides for the deferral of compensation and is subject to Section 409A of the Code, the transaction or event described in subsection (a), (b), (c) or (d) with respect to such Award must also constitute a “change in control event,” as defined in Treasury Regulation §1.409A-3(i)(5) to the extent required by Section 409A.</w:t>
      </w:r>
    </w:p>
    <w:p>
      <w:pPr>
        <w:spacing w:after="0" w:line="10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The Committee shall have full and final authority, which shall be exercised in its discretion, to determine conclusively whether a Change in Control of the Company has occurred pursuant to the above definition, and the date of the occurrence of such Change in Control and any incidental matters relating thereto.</w:t>
      </w:r>
    </w:p>
    <w:p>
      <w:pPr>
        <w:spacing w:after="0" w:line="90" w:lineRule="exact"/>
        <w:rPr>
          <w:sz w:val="20"/>
          <w:szCs w:val="20"/>
          <w:color w:val="auto"/>
        </w:rPr>
      </w:pPr>
    </w:p>
    <w:p>
      <w:pPr>
        <w:ind w:right="180" w:firstLine="648"/>
        <w:spacing w:after="0" w:line="273" w:lineRule="auto"/>
        <w:rPr>
          <w:sz w:val="20"/>
          <w:szCs w:val="20"/>
          <w:color w:val="auto"/>
        </w:rPr>
      </w:pPr>
      <w:r>
        <w:rPr>
          <w:rFonts w:ascii="Times New Roman" w:cs="Times New Roman" w:eastAsia="Times New Roman" w:hAnsi="Times New Roman"/>
          <w:sz w:val="20"/>
          <w:szCs w:val="20"/>
          <w:color w:val="auto"/>
        </w:rPr>
        <w:t>2.8 “</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shall mean the Internal Revenue Code of 1986, as amended from time to time, together with the regulations and official guidance promulgated thereunder.</w:t>
      </w:r>
    </w:p>
    <w:p>
      <w:pPr>
        <w:spacing w:after="0" w:line="98" w:lineRule="exact"/>
        <w:rPr>
          <w:sz w:val="20"/>
          <w:szCs w:val="20"/>
          <w:color w:val="auto"/>
        </w:rPr>
      </w:pPr>
    </w:p>
    <w:p>
      <w:pPr>
        <w:ind w:right="620" w:firstLine="648"/>
        <w:spacing w:after="0" w:line="273" w:lineRule="auto"/>
        <w:rPr>
          <w:sz w:val="20"/>
          <w:szCs w:val="20"/>
          <w:color w:val="auto"/>
        </w:rPr>
      </w:pPr>
      <w:r>
        <w:rPr>
          <w:rFonts w:ascii="Times New Roman" w:cs="Times New Roman" w:eastAsia="Times New Roman" w:hAnsi="Times New Roman"/>
          <w:sz w:val="20"/>
          <w:szCs w:val="20"/>
          <w:color w:val="auto"/>
        </w:rPr>
        <w:t>2.9 “</w:t>
      </w:r>
      <w:r>
        <w:rPr>
          <w:rFonts w:ascii="Times New Roman" w:cs="Times New Roman" w:eastAsia="Times New Roman" w:hAnsi="Times New Roman"/>
          <w:sz w:val="20"/>
          <w:szCs w:val="20"/>
          <w:b w:val="1"/>
          <w:bCs w:val="1"/>
          <w:i w:val="1"/>
          <w:iCs w:val="1"/>
          <w:color w:val="auto"/>
        </w:rPr>
        <w:t>Committee</w:t>
      </w:r>
      <w:r>
        <w:rPr>
          <w:rFonts w:ascii="Times New Roman" w:cs="Times New Roman" w:eastAsia="Times New Roman" w:hAnsi="Times New Roman"/>
          <w:sz w:val="20"/>
          <w:szCs w:val="20"/>
          <w:color w:val="auto"/>
        </w:rPr>
        <w:t>” shall mean the Compensation Committee of the Board, or another committee or subcommittee of the Board, appointed as provided in Section 11.1.</w:t>
      </w:r>
    </w:p>
    <w:p>
      <w:pPr>
        <w:spacing w:after="0" w:line="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2.10 “</w:t>
      </w:r>
      <w:r>
        <w:rPr>
          <w:rFonts w:ascii="Times New Roman" w:cs="Times New Roman" w:eastAsia="Times New Roman" w:hAnsi="Times New Roman"/>
          <w:sz w:val="20"/>
          <w:szCs w:val="20"/>
          <w:b w:val="1"/>
          <w:bCs w:val="1"/>
          <w:i w:val="1"/>
          <w:iCs w:val="1"/>
          <w:color w:val="auto"/>
        </w:rPr>
        <w:t>Common Stock</w:t>
      </w:r>
      <w:r>
        <w:rPr>
          <w:rFonts w:ascii="Times New Roman" w:cs="Times New Roman" w:eastAsia="Times New Roman" w:hAnsi="Times New Roman"/>
          <w:sz w:val="20"/>
          <w:szCs w:val="20"/>
          <w:color w:val="auto"/>
        </w:rPr>
        <w:t>” shall mean the Class A common stock of the Company, par value $0.001 per share.</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2.11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shall have the meaning set forth in Article 1.</w:t>
      </w:r>
    </w:p>
    <w:p>
      <w:pPr>
        <w:spacing w:after="0" w:line="148" w:lineRule="exact"/>
        <w:rPr>
          <w:sz w:val="20"/>
          <w:szCs w:val="20"/>
          <w:color w:val="auto"/>
        </w:rPr>
      </w:pPr>
    </w:p>
    <w:p>
      <w:pPr>
        <w:ind w:right="80" w:firstLine="648"/>
        <w:spacing w:after="0" w:line="263" w:lineRule="auto"/>
        <w:rPr>
          <w:sz w:val="20"/>
          <w:szCs w:val="20"/>
          <w:color w:val="auto"/>
        </w:rPr>
      </w:pPr>
      <w:r>
        <w:rPr>
          <w:rFonts w:ascii="Times New Roman" w:cs="Times New Roman" w:eastAsia="Times New Roman" w:hAnsi="Times New Roman"/>
          <w:sz w:val="20"/>
          <w:szCs w:val="20"/>
          <w:color w:val="auto"/>
        </w:rPr>
        <w:t>2.12 “</w:t>
      </w:r>
      <w:r>
        <w:rPr>
          <w:rFonts w:ascii="Times New Roman" w:cs="Times New Roman" w:eastAsia="Times New Roman" w:hAnsi="Times New Roman"/>
          <w:sz w:val="20"/>
          <w:szCs w:val="20"/>
          <w:b w:val="1"/>
          <w:bCs w:val="1"/>
          <w:i w:val="1"/>
          <w:iCs w:val="1"/>
          <w:color w:val="auto"/>
        </w:rPr>
        <w:t>Consultant</w:t>
      </w:r>
      <w:r>
        <w:rPr>
          <w:rFonts w:ascii="Times New Roman" w:cs="Times New Roman" w:eastAsia="Times New Roman" w:hAnsi="Times New Roman"/>
          <w:sz w:val="20"/>
          <w:szCs w:val="20"/>
          <w:color w:val="auto"/>
        </w:rPr>
        <w:t>” shall mean any consultant or adviser engaged to provide services to the Company or any Subsidiary that qualifies as a consultant or advisor under the applicable rules of the Securities and Exchange Commission for registration of shares on a Form S-8 Registration Statement.</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2.13 “</w:t>
      </w:r>
      <w:r>
        <w:rPr>
          <w:rFonts w:ascii="Times New Roman" w:cs="Times New Roman" w:eastAsia="Times New Roman" w:hAnsi="Times New Roman"/>
          <w:sz w:val="20"/>
          <w:szCs w:val="20"/>
          <w:b w:val="1"/>
          <w:bCs w:val="1"/>
          <w:i w:val="1"/>
          <w:iCs w:val="1"/>
          <w:color w:val="auto"/>
        </w:rPr>
        <w:t>Director</w:t>
      </w:r>
      <w:r>
        <w:rPr>
          <w:rFonts w:ascii="Times New Roman" w:cs="Times New Roman" w:eastAsia="Times New Roman" w:hAnsi="Times New Roman"/>
          <w:sz w:val="20"/>
          <w:szCs w:val="20"/>
          <w:color w:val="auto"/>
        </w:rPr>
        <w:t>” shall mean a member of the Board, as constituted from time to time.</w:t>
      </w:r>
    </w:p>
    <w:p>
      <w:pPr>
        <w:sectPr>
          <w:pgSz w:w="11900" w:h="16838" w:orient="portrait"/>
          <w:cols w:equalWidth="0" w:num="1">
            <w:col w:w="11240"/>
          </w:cols>
          <w:pgMar w:left="320" w:top="981" w:right="339" w:bottom="1440" w:gutter="0" w:footer="0" w:header="0"/>
        </w:sect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981" w:right="339" w:bottom="1440" w:gutter="0" w:footer="0" w:header="0"/>
          <w:type w:val="continuous"/>
        </w:sectPr>
      </w:pPr>
    </w:p>
    <w:bookmarkStart w:id="11" w:name="page12"/>
    <w:bookmarkEnd w:id="11"/>
    <w:p>
      <w:pPr>
        <w:ind w:left="660"/>
        <w:spacing w:after="0"/>
        <w:rPr>
          <w:sz w:val="20"/>
          <w:szCs w:val="20"/>
          <w:color w:val="auto"/>
        </w:rPr>
      </w:pPr>
      <w:r>
        <w:rPr>
          <w:rFonts w:ascii="Times New Roman" w:cs="Times New Roman" w:eastAsia="Times New Roman" w:hAnsi="Times New Roman"/>
          <w:sz w:val="20"/>
          <w:szCs w:val="20"/>
          <w:color w:val="auto"/>
        </w:rPr>
        <w:t>2.14 “</w:t>
      </w:r>
      <w:r>
        <w:rPr>
          <w:rFonts w:ascii="Times New Roman" w:cs="Times New Roman" w:eastAsia="Times New Roman" w:hAnsi="Times New Roman"/>
          <w:sz w:val="20"/>
          <w:szCs w:val="20"/>
          <w:b w:val="1"/>
          <w:bCs w:val="1"/>
          <w:i w:val="1"/>
          <w:iCs w:val="1"/>
          <w:color w:val="auto"/>
        </w:rPr>
        <w:t>Disability</w:t>
      </w:r>
      <w:r>
        <w:rPr>
          <w:rFonts w:ascii="Times New Roman" w:cs="Times New Roman" w:eastAsia="Times New Roman" w:hAnsi="Times New Roman"/>
          <w:sz w:val="20"/>
          <w:szCs w:val="20"/>
          <w:color w:val="auto"/>
        </w:rPr>
        <w:t>” shall mean “disability,” as such term is defined in Section 22(e)(3) of the Code.</w:t>
      </w:r>
    </w:p>
    <w:p>
      <w:pPr>
        <w:spacing w:after="0" w:line="148" w:lineRule="exact"/>
        <w:rPr>
          <w:sz w:val="20"/>
          <w:szCs w:val="20"/>
          <w:color w:val="auto"/>
        </w:rPr>
      </w:pPr>
    </w:p>
    <w:p>
      <w:pPr>
        <w:ind w:right="20" w:firstLine="648"/>
        <w:spacing w:after="0" w:line="287" w:lineRule="auto"/>
        <w:rPr>
          <w:sz w:val="20"/>
          <w:szCs w:val="20"/>
          <w:color w:val="auto"/>
        </w:rPr>
      </w:pPr>
      <w:r>
        <w:rPr>
          <w:rFonts w:ascii="Times New Roman" w:cs="Times New Roman" w:eastAsia="Times New Roman" w:hAnsi="Times New Roman"/>
          <w:sz w:val="20"/>
          <w:szCs w:val="20"/>
          <w:color w:val="auto"/>
        </w:rPr>
        <w:t>2.15 “</w:t>
      </w:r>
      <w:r>
        <w:rPr>
          <w:rFonts w:ascii="Times New Roman" w:cs="Times New Roman" w:eastAsia="Times New Roman" w:hAnsi="Times New Roman"/>
          <w:sz w:val="20"/>
          <w:szCs w:val="20"/>
          <w:b w:val="1"/>
          <w:bCs w:val="1"/>
          <w:i w:val="1"/>
          <w:iCs w:val="1"/>
          <w:color w:val="auto"/>
        </w:rPr>
        <w:t>DRO</w:t>
      </w:r>
      <w:r>
        <w:rPr>
          <w:rFonts w:ascii="Times New Roman" w:cs="Times New Roman" w:eastAsia="Times New Roman" w:hAnsi="Times New Roman"/>
          <w:sz w:val="20"/>
          <w:szCs w:val="20"/>
          <w:color w:val="auto"/>
        </w:rPr>
        <w:t>” shall mean a domestic relations order as defined by the Code or Title I of the Employee Retirement Income Security Act of 1974, as amended from time to time, or the rules thereunder.</w:t>
      </w:r>
    </w:p>
    <w:p>
      <w:pPr>
        <w:spacing w:after="0" w:line="71" w:lineRule="exact"/>
        <w:rPr>
          <w:sz w:val="20"/>
          <w:szCs w:val="20"/>
          <w:color w:val="auto"/>
        </w:rPr>
      </w:pPr>
    </w:p>
    <w:p>
      <w:pPr>
        <w:ind w:right="260" w:firstLine="648"/>
        <w:spacing w:after="0" w:line="287" w:lineRule="auto"/>
        <w:rPr>
          <w:sz w:val="20"/>
          <w:szCs w:val="20"/>
          <w:color w:val="auto"/>
        </w:rPr>
      </w:pPr>
      <w:r>
        <w:rPr>
          <w:rFonts w:ascii="Times New Roman" w:cs="Times New Roman" w:eastAsia="Times New Roman" w:hAnsi="Times New Roman"/>
          <w:sz w:val="20"/>
          <w:szCs w:val="20"/>
          <w:color w:val="auto"/>
        </w:rPr>
        <w:t>2.16 “</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shall mean the date of the Annual Meeting of the Stockholders to be held on June 3, 2021 or such other date upon which the Company’s stockholders approve the Plan.</w:t>
      </w:r>
    </w:p>
    <w:p>
      <w:pPr>
        <w:spacing w:after="0" w:line="71" w:lineRule="exact"/>
        <w:rPr>
          <w:sz w:val="20"/>
          <w:szCs w:val="20"/>
          <w:color w:val="auto"/>
        </w:rPr>
      </w:pPr>
    </w:p>
    <w:p>
      <w:pPr>
        <w:ind w:right="160" w:firstLine="648"/>
        <w:spacing w:after="0" w:line="287" w:lineRule="auto"/>
        <w:rPr>
          <w:sz w:val="20"/>
          <w:szCs w:val="20"/>
          <w:color w:val="auto"/>
        </w:rPr>
      </w:pPr>
      <w:r>
        <w:rPr>
          <w:rFonts w:ascii="Times New Roman" w:cs="Times New Roman" w:eastAsia="Times New Roman" w:hAnsi="Times New Roman"/>
          <w:sz w:val="20"/>
          <w:szCs w:val="20"/>
          <w:color w:val="auto"/>
        </w:rPr>
        <w:t>2.17 “</w:t>
      </w:r>
      <w:r>
        <w:rPr>
          <w:rFonts w:ascii="Times New Roman" w:cs="Times New Roman" w:eastAsia="Times New Roman" w:hAnsi="Times New Roman"/>
          <w:sz w:val="20"/>
          <w:szCs w:val="20"/>
          <w:b w:val="1"/>
          <w:bCs w:val="1"/>
          <w:i w:val="1"/>
          <w:iCs w:val="1"/>
          <w:color w:val="auto"/>
        </w:rPr>
        <w:t>Eligible Individual</w:t>
      </w:r>
      <w:r>
        <w:rPr>
          <w:rFonts w:ascii="Times New Roman" w:cs="Times New Roman" w:eastAsia="Times New Roman" w:hAnsi="Times New Roman"/>
          <w:sz w:val="20"/>
          <w:szCs w:val="20"/>
          <w:color w:val="auto"/>
        </w:rPr>
        <w:t>” shall mean any person who is an Employee, a Consultant or a Non-Employee Director, as determined by the Administrator.</w:t>
      </w:r>
    </w:p>
    <w:p>
      <w:pPr>
        <w:spacing w:after="0" w:line="71" w:lineRule="exact"/>
        <w:rPr>
          <w:sz w:val="20"/>
          <w:szCs w:val="20"/>
          <w:color w:val="auto"/>
        </w:rPr>
      </w:pPr>
    </w:p>
    <w:p>
      <w:pPr>
        <w:ind w:right="240" w:firstLine="648"/>
        <w:spacing w:after="0" w:line="273" w:lineRule="auto"/>
        <w:rPr>
          <w:sz w:val="20"/>
          <w:szCs w:val="20"/>
          <w:color w:val="auto"/>
        </w:rPr>
      </w:pPr>
      <w:r>
        <w:rPr>
          <w:rFonts w:ascii="Times New Roman" w:cs="Times New Roman" w:eastAsia="Times New Roman" w:hAnsi="Times New Roman"/>
          <w:sz w:val="20"/>
          <w:szCs w:val="20"/>
          <w:color w:val="auto"/>
        </w:rPr>
        <w:t>2.18 “</w:t>
      </w:r>
      <w:r>
        <w:rPr>
          <w:rFonts w:ascii="Times New Roman" w:cs="Times New Roman" w:eastAsia="Times New Roman" w:hAnsi="Times New Roman"/>
          <w:sz w:val="20"/>
          <w:szCs w:val="20"/>
          <w:b w:val="1"/>
          <w:bCs w:val="1"/>
          <w:i w:val="1"/>
          <w:iCs w:val="1"/>
          <w:color w:val="auto"/>
        </w:rPr>
        <w:t>Employee</w:t>
      </w:r>
      <w:r>
        <w:rPr>
          <w:rFonts w:ascii="Times New Roman" w:cs="Times New Roman" w:eastAsia="Times New Roman" w:hAnsi="Times New Roman"/>
          <w:sz w:val="20"/>
          <w:szCs w:val="20"/>
          <w:color w:val="auto"/>
        </w:rPr>
        <w:t>” shall mean any officer or other employee (as determined in accordance with Section 3401(c) of the Code and the Treasury Regulations thereunder) of the Company or of any Subsidiary.</w:t>
      </w:r>
    </w:p>
    <w:p>
      <w:pPr>
        <w:spacing w:after="0" w:line="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2.19 “</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shall mean the Securities Exchange Act of 1934, as amended from time to time.</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2.20 “</w:t>
      </w:r>
      <w:r>
        <w:rPr>
          <w:rFonts w:ascii="Times New Roman" w:cs="Times New Roman" w:eastAsia="Times New Roman" w:hAnsi="Times New Roman"/>
          <w:sz w:val="20"/>
          <w:szCs w:val="20"/>
          <w:b w:val="1"/>
          <w:bCs w:val="1"/>
          <w:i w:val="1"/>
          <w:iCs w:val="1"/>
          <w:color w:val="auto"/>
        </w:rPr>
        <w:t>Expiration Date</w:t>
      </w:r>
      <w:r>
        <w:rPr>
          <w:rFonts w:ascii="Times New Roman" w:cs="Times New Roman" w:eastAsia="Times New Roman" w:hAnsi="Times New Roman"/>
          <w:sz w:val="20"/>
          <w:szCs w:val="20"/>
          <w:color w:val="auto"/>
        </w:rPr>
        <w:t>” shall have the meaning given to such term in Section 12.1(c).</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2.21 “</w:t>
      </w:r>
      <w:r>
        <w:rPr>
          <w:rFonts w:ascii="Times New Roman" w:cs="Times New Roman" w:eastAsia="Times New Roman" w:hAnsi="Times New Roman"/>
          <w:sz w:val="20"/>
          <w:szCs w:val="20"/>
          <w:b w:val="1"/>
          <w:bCs w:val="1"/>
          <w:i w:val="1"/>
          <w:iCs w:val="1"/>
          <w:color w:val="auto"/>
        </w:rPr>
        <w:t>Fair Market Value</w:t>
      </w:r>
      <w:r>
        <w:rPr>
          <w:rFonts w:ascii="Times New Roman" w:cs="Times New Roman" w:eastAsia="Times New Roman" w:hAnsi="Times New Roman"/>
          <w:sz w:val="20"/>
          <w:szCs w:val="20"/>
          <w:color w:val="auto"/>
        </w:rPr>
        <w:t>” shall mean, as of any given date, the value of a Share determined as follows:</w:t>
      </w:r>
    </w:p>
    <w:p>
      <w:pPr>
        <w:spacing w:after="0" w:line="152" w:lineRule="exact"/>
        <w:rPr>
          <w:sz w:val="20"/>
          <w:szCs w:val="20"/>
          <w:color w:val="auto"/>
        </w:rPr>
      </w:pPr>
    </w:p>
    <w:p>
      <w:pPr>
        <w:jc w:val="both"/>
        <w:ind w:firstLine="1278"/>
        <w:spacing w:after="0" w:line="253" w:lineRule="auto"/>
        <w:tabs>
          <w:tab w:leader="none" w:pos="1935"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Common Stock is listed on any (i) established securities exchange (such as the New York Stock Exchange, the NASDAQ Global Market and the NASDAQ Global Select Market), (ii) national market system or (iii) automated quotation system on which the Shares are listed, quoted or traded, its Fair Market Value shall be the closing sales price for a share of Common Stock as quoted on such exchange or system for such date or, if there is no closing sales price for a share of Common Stock on the date in question, the closing sales price for a share of Common Stock on the last preceding date for which such quotation exists, as reported in </w:t>
      </w:r>
      <w:r>
        <w:rPr>
          <w:rFonts w:ascii="Times New Roman" w:cs="Times New Roman" w:eastAsia="Times New Roman" w:hAnsi="Times New Roman"/>
          <w:sz w:val="20"/>
          <w:szCs w:val="20"/>
          <w:i w:val="1"/>
          <w:iCs w:val="1"/>
          <w:color w:val="auto"/>
        </w:rPr>
        <w:t>The Wall Street Journal</w:t>
      </w:r>
      <w:r>
        <w:rPr>
          <w:rFonts w:ascii="Times New Roman" w:cs="Times New Roman" w:eastAsia="Times New Roman" w:hAnsi="Times New Roman"/>
          <w:sz w:val="20"/>
          <w:szCs w:val="20"/>
          <w:color w:val="auto"/>
        </w:rPr>
        <w:t xml:space="preserve"> or such other source as the Administrator deems reliable;</w:t>
      </w:r>
    </w:p>
    <w:p>
      <w:pPr>
        <w:spacing w:after="0" w:line="124" w:lineRule="exact"/>
        <w:rPr>
          <w:rFonts w:ascii="Times New Roman" w:cs="Times New Roman" w:eastAsia="Times New Roman" w:hAnsi="Times New Roman"/>
          <w:sz w:val="20"/>
          <w:szCs w:val="20"/>
          <w:color w:val="auto"/>
        </w:rPr>
      </w:pPr>
    </w:p>
    <w:p>
      <w:pPr>
        <w:jc w:val="both"/>
        <w:ind w:firstLine="1278"/>
        <w:spacing w:after="0" w:line="253" w:lineRule="auto"/>
        <w:tabs>
          <w:tab w:leader="none" w:pos="1933"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Common Stock is not listed on an established securities exchange, national market system or automated quotation system, but the Common Stock is regularly quoted by a recognized securities dealer, its Fair Market Value shall be the mean of the high bid and low asked prices for such date or, if there are no high bid and low asked prices for a share of Common Stock on such date, the high bid and low asked prices for a share of Common Stock on the last preceding date for which such information exists, as reported in </w:t>
      </w:r>
      <w:r>
        <w:rPr>
          <w:rFonts w:ascii="Times New Roman" w:cs="Times New Roman" w:eastAsia="Times New Roman" w:hAnsi="Times New Roman"/>
          <w:sz w:val="20"/>
          <w:szCs w:val="20"/>
          <w:i w:val="1"/>
          <w:iCs w:val="1"/>
          <w:color w:val="auto"/>
        </w:rPr>
        <w:t>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Wall Street Journal </w:t>
      </w:r>
      <w:r>
        <w:rPr>
          <w:rFonts w:ascii="Times New Roman" w:cs="Times New Roman" w:eastAsia="Times New Roman" w:hAnsi="Times New Roman"/>
          <w:sz w:val="20"/>
          <w:szCs w:val="20"/>
          <w:color w:val="auto"/>
        </w:rPr>
        <w:t>or such other source as the Administrator deems reliable; or</w:t>
      </w:r>
    </w:p>
    <w:p>
      <w:pPr>
        <w:spacing w:after="0" w:line="110" w:lineRule="exact"/>
        <w:rPr>
          <w:rFonts w:ascii="Times New Roman" w:cs="Times New Roman" w:eastAsia="Times New Roman" w:hAnsi="Times New Roman"/>
          <w:sz w:val="20"/>
          <w:szCs w:val="20"/>
          <w:color w:val="auto"/>
        </w:rPr>
      </w:pPr>
    </w:p>
    <w:p>
      <w:pPr>
        <w:jc w:val="both"/>
        <w:ind w:firstLine="1278"/>
        <w:spacing w:after="0" w:line="258" w:lineRule="auto"/>
        <w:tabs>
          <w:tab w:leader="none" w:pos="1935"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Common Stock is neither listed on an established securities exchange, national market system or automated quotation system nor regularly quoted by a recognized securities dealer, its Fair Market Value shall be established by the Administrator in good faith by the reasonable application of a reasonable valuation method, taking into account the factors set forth in Treasury Regulation §1.409A-1(b)(5)(iv)(B).</w:t>
      </w:r>
    </w:p>
    <w:p>
      <w:pPr>
        <w:spacing w:after="0" w:line="101" w:lineRule="exact"/>
        <w:rPr>
          <w:sz w:val="20"/>
          <w:szCs w:val="20"/>
          <w:color w:val="auto"/>
        </w:rPr>
      </w:pPr>
    </w:p>
    <w:p>
      <w:pPr>
        <w:ind w:right="320" w:firstLine="648"/>
        <w:spacing w:after="0" w:line="263" w:lineRule="auto"/>
        <w:rPr>
          <w:sz w:val="20"/>
          <w:szCs w:val="20"/>
          <w:color w:val="auto"/>
        </w:rPr>
      </w:pPr>
      <w:r>
        <w:rPr>
          <w:rFonts w:ascii="Times New Roman" w:cs="Times New Roman" w:eastAsia="Times New Roman" w:hAnsi="Times New Roman"/>
          <w:sz w:val="20"/>
          <w:szCs w:val="20"/>
          <w:color w:val="auto"/>
        </w:rPr>
        <w:t>2.22 “</w:t>
      </w:r>
      <w:r>
        <w:rPr>
          <w:rFonts w:ascii="Times New Roman" w:cs="Times New Roman" w:eastAsia="Times New Roman" w:hAnsi="Times New Roman"/>
          <w:sz w:val="20"/>
          <w:szCs w:val="20"/>
          <w:b w:val="1"/>
          <w:bCs w:val="1"/>
          <w:i w:val="1"/>
          <w:iCs w:val="1"/>
          <w:color w:val="auto"/>
        </w:rPr>
        <w:t>Greater Than 10% Stockholder</w:t>
      </w:r>
      <w:r>
        <w:rPr>
          <w:rFonts w:ascii="Times New Roman" w:cs="Times New Roman" w:eastAsia="Times New Roman" w:hAnsi="Times New Roman"/>
          <w:sz w:val="20"/>
          <w:szCs w:val="20"/>
          <w:color w:val="auto"/>
        </w:rPr>
        <w:t>” shall mean an individual then owning (within the meaning of Section 424(d) of the Code) more than 10% of the total combined voting power of all classes of stock of the Company or any subsidiary corporation (as defined in Section 424(f) of the Code) or parent corporation thereof (as defined in Section 424(e) of the Code).</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2.23 “</w:t>
      </w:r>
      <w:r>
        <w:rPr>
          <w:rFonts w:ascii="Times New Roman" w:cs="Times New Roman" w:eastAsia="Times New Roman" w:hAnsi="Times New Roman"/>
          <w:sz w:val="20"/>
          <w:szCs w:val="20"/>
          <w:b w:val="1"/>
          <w:bCs w:val="1"/>
          <w:i w:val="1"/>
          <w:iCs w:val="1"/>
          <w:color w:val="auto"/>
        </w:rPr>
        <w:t>Holder</w:t>
      </w:r>
      <w:r>
        <w:rPr>
          <w:rFonts w:ascii="Times New Roman" w:cs="Times New Roman" w:eastAsia="Times New Roman" w:hAnsi="Times New Roman"/>
          <w:sz w:val="20"/>
          <w:szCs w:val="20"/>
          <w:color w:val="auto"/>
        </w:rPr>
        <w:t>” shall mean a person who has been granted an Award.</w:t>
      </w:r>
    </w:p>
    <w:p>
      <w:pPr>
        <w:spacing w:after="0" w:line="148" w:lineRule="exact"/>
        <w:rPr>
          <w:sz w:val="20"/>
          <w:szCs w:val="20"/>
          <w:color w:val="auto"/>
        </w:rPr>
      </w:pPr>
    </w:p>
    <w:p>
      <w:pPr>
        <w:ind w:right="460" w:firstLine="648"/>
        <w:spacing w:after="0" w:line="287" w:lineRule="auto"/>
        <w:rPr>
          <w:sz w:val="20"/>
          <w:szCs w:val="20"/>
          <w:color w:val="auto"/>
        </w:rPr>
      </w:pPr>
      <w:r>
        <w:rPr>
          <w:rFonts w:ascii="Times New Roman" w:cs="Times New Roman" w:eastAsia="Times New Roman" w:hAnsi="Times New Roman"/>
          <w:sz w:val="20"/>
          <w:szCs w:val="20"/>
          <w:color w:val="auto"/>
        </w:rPr>
        <w:t>2.24 “</w:t>
      </w:r>
      <w:r>
        <w:rPr>
          <w:rFonts w:ascii="Times New Roman" w:cs="Times New Roman" w:eastAsia="Times New Roman" w:hAnsi="Times New Roman"/>
          <w:sz w:val="20"/>
          <w:szCs w:val="20"/>
          <w:b w:val="1"/>
          <w:bCs w:val="1"/>
          <w:i w:val="1"/>
          <w:iCs w:val="1"/>
          <w:color w:val="auto"/>
        </w:rPr>
        <w:t>Incentive Stock Option</w:t>
      </w:r>
      <w:r>
        <w:rPr>
          <w:rFonts w:ascii="Times New Roman" w:cs="Times New Roman" w:eastAsia="Times New Roman" w:hAnsi="Times New Roman"/>
          <w:sz w:val="20"/>
          <w:szCs w:val="20"/>
          <w:color w:val="auto"/>
        </w:rPr>
        <w:t>” shall mean an Option that is intended to qualify as an incentive stock option and conforms to the applicable provisions of Section 422 of the Code.</w:t>
      </w:r>
    </w:p>
    <w:p>
      <w:pPr>
        <w:spacing w:after="0" w:line="71"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9"/>
          <w:szCs w:val="19"/>
          <w:color w:val="auto"/>
        </w:rPr>
        <w:t>2.25 “</w:t>
      </w:r>
      <w:r>
        <w:rPr>
          <w:rFonts w:ascii="Times New Roman" w:cs="Times New Roman" w:eastAsia="Times New Roman" w:hAnsi="Times New Roman"/>
          <w:sz w:val="19"/>
          <w:szCs w:val="19"/>
          <w:b w:val="1"/>
          <w:bCs w:val="1"/>
          <w:i w:val="1"/>
          <w:iCs w:val="1"/>
          <w:color w:val="auto"/>
        </w:rPr>
        <w:t>Misconduct</w:t>
      </w:r>
      <w:r>
        <w:rPr>
          <w:rFonts w:ascii="Times New Roman" w:cs="Times New Roman" w:eastAsia="Times New Roman" w:hAnsi="Times New Roman"/>
          <w:sz w:val="19"/>
          <w:szCs w:val="19"/>
          <w:color w:val="auto"/>
        </w:rPr>
        <w:t>” shall mean the occurrence of any of, but not limited to, the following: (a) conviction of a Holder of any felony or any crime involving fraud or dishonesty; (b) a Holder’s participation (whether by affirmative act or omission) in a fraud, act or dishonesty or other act of misconduct against the Company and/or any Subsidiary; (c) conduct by a Holder which, based upon a good faith and reasonable factual investigation by the Company (or, if a Holder is an executive officer, by the Board), demonstrates such Holder’s unfitness to serve;</w:t>
      </w:r>
    </w:p>
    <w:p>
      <w:pPr>
        <w:spacing w:after="0" w:line="2" w:lineRule="exact"/>
        <w:rPr>
          <w:sz w:val="20"/>
          <w:szCs w:val="20"/>
          <w:color w:val="auto"/>
        </w:rPr>
      </w:pPr>
    </w:p>
    <w:p>
      <w:pPr>
        <w:ind w:right="80" w:firstLine="8"/>
        <w:spacing w:after="0" w:line="251" w:lineRule="auto"/>
        <w:tabs>
          <w:tab w:leader="none" w:pos="2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Holder’s violation of any statutory or fiduciary duty, or duty of loyalty owed to the Company and/or any Subsidiary; (e) a Holder’s violation of state or federal law in connection with the Holder’s performance of his or her job which has an adverse effect on the Company and/or any Subsidiary; and (f) a Holder’s violation of Company policy which has a material adverse effect on the Company and/or any Subsidiary. Notwithstanding the foregoing, a Holder’s Disability shall not constitute Misconduct as set forth herein. The determination that a termination is for Misconduct shall be by the Administrator in its sole and</w:t>
      </w:r>
    </w:p>
    <w:p>
      <w:pPr>
        <w:sectPr>
          <w:pgSz w:w="11900" w:h="16838" w:orient="portrait"/>
          <w:cols w:equalWidth="0" w:num="1">
            <w:col w:w="11240"/>
          </w:cols>
          <w:pgMar w:left="320" w:top="977" w:right="339" w:bottom="1440" w:gutter="0" w:footer="0" w:header="0"/>
        </w:sect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240"/>
          </w:cols>
          <w:pgMar w:left="320" w:top="977" w:right="339" w:bottom="1440" w:gutter="0" w:footer="0" w:header="0"/>
          <w:type w:val="continuous"/>
        </w:sectPr>
      </w:pPr>
    </w:p>
    <w:bookmarkStart w:id="12" w:name="page13"/>
    <w:bookmarkEnd w:id="12"/>
    <w:p>
      <w:pPr>
        <w:ind w:right="180"/>
        <w:spacing w:after="0" w:line="258" w:lineRule="auto"/>
        <w:rPr>
          <w:sz w:val="20"/>
          <w:szCs w:val="20"/>
          <w:color w:val="auto"/>
        </w:rPr>
      </w:pPr>
      <w:r>
        <w:rPr>
          <w:rFonts w:ascii="Times New Roman" w:cs="Times New Roman" w:eastAsia="Times New Roman" w:hAnsi="Times New Roman"/>
          <w:sz w:val="20"/>
          <w:szCs w:val="20"/>
          <w:color w:val="auto"/>
        </w:rPr>
        <w:t>exclusive judgment and discretion. Notwithstanding the foregoing, if a Holder is a party to an employment or severance agreement with the Company or any Subsidiary in effect as of the date of grant of an Award which defines “Misconduct” or “Cause” or a similar term, “Misconduct” for purposes of the Plan and such Award shall also include the meaning(s) given to such term in such employment or severance agreement.</w:t>
      </w:r>
    </w:p>
    <w:p>
      <w:pPr>
        <w:spacing w:after="0" w:line="1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2.26 “</w:t>
      </w:r>
      <w:r>
        <w:rPr>
          <w:rFonts w:ascii="Times New Roman" w:cs="Times New Roman" w:eastAsia="Times New Roman" w:hAnsi="Times New Roman"/>
          <w:sz w:val="20"/>
          <w:szCs w:val="20"/>
          <w:b w:val="1"/>
          <w:bCs w:val="1"/>
          <w:i w:val="1"/>
          <w:iCs w:val="1"/>
          <w:color w:val="auto"/>
        </w:rPr>
        <w:t>Non-Employee Director</w:t>
      </w:r>
      <w:r>
        <w:rPr>
          <w:rFonts w:ascii="Times New Roman" w:cs="Times New Roman" w:eastAsia="Times New Roman" w:hAnsi="Times New Roman"/>
          <w:sz w:val="20"/>
          <w:szCs w:val="20"/>
          <w:color w:val="auto"/>
        </w:rPr>
        <w:t>” shall mean a Director of the Company who is not an Employee.</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2.27 “</w:t>
      </w:r>
      <w:r>
        <w:rPr>
          <w:rFonts w:ascii="Times New Roman" w:cs="Times New Roman" w:eastAsia="Times New Roman" w:hAnsi="Times New Roman"/>
          <w:sz w:val="20"/>
          <w:szCs w:val="20"/>
          <w:b w:val="1"/>
          <w:bCs w:val="1"/>
          <w:i w:val="1"/>
          <w:iCs w:val="1"/>
          <w:color w:val="auto"/>
        </w:rPr>
        <w:t>Non-Employee Director Compensation Policy</w:t>
      </w:r>
      <w:r>
        <w:rPr>
          <w:rFonts w:ascii="Times New Roman" w:cs="Times New Roman" w:eastAsia="Times New Roman" w:hAnsi="Times New Roman"/>
          <w:sz w:val="20"/>
          <w:szCs w:val="20"/>
          <w:color w:val="auto"/>
        </w:rPr>
        <w:t>” shall have the meaning set forth in Section 4.6.</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2.28 “</w:t>
      </w:r>
      <w:r>
        <w:rPr>
          <w:rFonts w:ascii="Times New Roman" w:cs="Times New Roman" w:eastAsia="Times New Roman" w:hAnsi="Times New Roman"/>
          <w:sz w:val="20"/>
          <w:szCs w:val="20"/>
          <w:b w:val="1"/>
          <w:bCs w:val="1"/>
          <w:i w:val="1"/>
          <w:iCs w:val="1"/>
          <w:color w:val="auto"/>
        </w:rPr>
        <w:t>Non-Qualified Stock Option</w:t>
      </w:r>
      <w:r>
        <w:rPr>
          <w:rFonts w:ascii="Times New Roman" w:cs="Times New Roman" w:eastAsia="Times New Roman" w:hAnsi="Times New Roman"/>
          <w:sz w:val="20"/>
          <w:szCs w:val="20"/>
          <w:color w:val="auto"/>
        </w:rPr>
        <w:t>” shall mean an Option that is not an Incentive Stock Option.</w:t>
      </w:r>
    </w:p>
    <w:p>
      <w:pPr>
        <w:spacing w:after="0" w:line="148" w:lineRule="exact"/>
        <w:rPr>
          <w:sz w:val="20"/>
          <w:szCs w:val="20"/>
          <w:color w:val="auto"/>
        </w:rPr>
      </w:pPr>
    </w:p>
    <w:p>
      <w:pPr>
        <w:jc w:val="both"/>
        <w:ind w:right="120" w:firstLine="648"/>
        <w:spacing w:after="0" w:line="263" w:lineRule="auto"/>
        <w:rPr>
          <w:sz w:val="20"/>
          <w:szCs w:val="20"/>
          <w:color w:val="auto"/>
        </w:rPr>
      </w:pPr>
      <w:r>
        <w:rPr>
          <w:rFonts w:ascii="Times New Roman" w:cs="Times New Roman" w:eastAsia="Times New Roman" w:hAnsi="Times New Roman"/>
          <w:sz w:val="20"/>
          <w:szCs w:val="20"/>
          <w:color w:val="auto"/>
        </w:rPr>
        <w:t>2.29 “</w:t>
      </w:r>
      <w:r>
        <w:rPr>
          <w:rFonts w:ascii="Times New Roman" w:cs="Times New Roman" w:eastAsia="Times New Roman" w:hAnsi="Times New Roman"/>
          <w:sz w:val="20"/>
          <w:szCs w:val="20"/>
          <w:b w:val="1"/>
          <w:bCs w:val="1"/>
          <w:i w:val="1"/>
          <w:iCs w:val="1"/>
          <w:color w:val="auto"/>
        </w:rPr>
        <w:t>Option</w:t>
      </w:r>
      <w:r>
        <w:rPr>
          <w:rFonts w:ascii="Times New Roman" w:cs="Times New Roman" w:eastAsia="Times New Roman" w:hAnsi="Times New Roman"/>
          <w:sz w:val="20"/>
          <w:szCs w:val="20"/>
          <w:color w:val="auto"/>
        </w:rPr>
        <w:t xml:space="preserve">” shall mean a right to purchase Shares at a specified exercise price that is granted under Article 5. An Option shall be either a Non-Qualified Stock Option or an Incentive Stock Option;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Options granted to Non-Employee Directors and Consultants shall only be Non-Qualified Stock Options.</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2.30 “</w:t>
      </w:r>
      <w:r>
        <w:rPr>
          <w:rFonts w:ascii="Times New Roman" w:cs="Times New Roman" w:eastAsia="Times New Roman" w:hAnsi="Times New Roman"/>
          <w:sz w:val="20"/>
          <w:szCs w:val="20"/>
          <w:b w:val="1"/>
          <w:bCs w:val="1"/>
          <w:i w:val="1"/>
          <w:iCs w:val="1"/>
          <w:color w:val="auto"/>
        </w:rPr>
        <w:t>Option Term</w:t>
      </w:r>
      <w:r>
        <w:rPr>
          <w:rFonts w:ascii="Times New Roman" w:cs="Times New Roman" w:eastAsia="Times New Roman" w:hAnsi="Times New Roman"/>
          <w:sz w:val="20"/>
          <w:szCs w:val="20"/>
          <w:color w:val="auto"/>
        </w:rPr>
        <w:t>” shall have the meaning set forth in Section 5.6.</w:t>
      </w:r>
    </w:p>
    <w:p>
      <w:pPr>
        <w:spacing w:after="0" w:line="148" w:lineRule="exact"/>
        <w:rPr>
          <w:sz w:val="20"/>
          <w:szCs w:val="20"/>
          <w:color w:val="auto"/>
        </w:rPr>
      </w:pPr>
    </w:p>
    <w:p>
      <w:pPr>
        <w:ind w:right="40" w:firstLine="648"/>
        <w:spacing w:after="0" w:line="287" w:lineRule="auto"/>
        <w:rPr>
          <w:sz w:val="20"/>
          <w:szCs w:val="20"/>
          <w:color w:val="auto"/>
        </w:rPr>
      </w:pPr>
      <w:r>
        <w:rPr>
          <w:rFonts w:ascii="Times New Roman" w:cs="Times New Roman" w:eastAsia="Times New Roman" w:hAnsi="Times New Roman"/>
          <w:sz w:val="20"/>
          <w:szCs w:val="20"/>
          <w:color w:val="auto"/>
        </w:rPr>
        <w:t>2.31 “</w:t>
      </w:r>
      <w:r>
        <w:rPr>
          <w:rFonts w:ascii="Times New Roman" w:cs="Times New Roman" w:eastAsia="Times New Roman" w:hAnsi="Times New Roman"/>
          <w:sz w:val="20"/>
          <w:szCs w:val="20"/>
          <w:b w:val="1"/>
          <w:bCs w:val="1"/>
          <w:i w:val="1"/>
          <w:iCs w:val="1"/>
          <w:color w:val="auto"/>
        </w:rPr>
        <w:t>Performance Award</w:t>
      </w:r>
      <w:r>
        <w:rPr>
          <w:rFonts w:ascii="Times New Roman" w:cs="Times New Roman" w:eastAsia="Times New Roman" w:hAnsi="Times New Roman"/>
          <w:sz w:val="20"/>
          <w:szCs w:val="20"/>
          <w:color w:val="auto"/>
        </w:rPr>
        <w:t>” shall mean a cash bonus award, stock bonus award, performance award or incentive award that is paid in cash, Shares or a combination of both, awarded under Section 8.1.</w:t>
      </w:r>
    </w:p>
    <w:p>
      <w:pPr>
        <w:spacing w:after="0" w:line="71" w:lineRule="exact"/>
        <w:rPr>
          <w:sz w:val="20"/>
          <w:szCs w:val="20"/>
          <w:color w:val="auto"/>
        </w:rPr>
      </w:pPr>
    </w:p>
    <w:p>
      <w:pPr>
        <w:ind w:right="340" w:firstLine="648"/>
        <w:spacing w:after="0" w:line="287" w:lineRule="auto"/>
        <w:rPr>
          <w:sz w:val="20"/>
          <w:szCs w:val="20"/>
          <w:color w:val="auto"/>
        </w:rPr>
      </w:pPr>
      <w:r>
        <w:rPr>
          <w:rFonts w:ascii="Times New Roman" w:cs="Times New Roman" w:eastAsia="Times New Roman" w:hAnsi="Times New Roman"/>
          <w:sz w:val="20"/>
          <w:szCs w:val="20"/>
          <w:color w:val="auto"/>
        </w:rPr>
        <w:t>2.32 “</w:t>
      </w:r>
      <w:r>
        <w:rPr>
          <w:rFonts w:ascii="Times New Roman" w:cs="Times New Roman" w:eastAsia="Times New Roman" w:hAnsi="Times New Roman"/>
          <w:sz w:val="20"/>
          <w:szCs w:val="20"/>
          <w:b w:val="1"/>
          <w:bCs w:val="1"/>
          <w:i w:val="1"/>
          <w:iCs w:val="1"/>
          <w:color w:val="auto"/>
        </w:rPr>
        <w:t>Performance Criteria</w:t>
      </w:r>
      <w:r>
        <w:rPr>
          <w:rFonts w:ascii="Times New Roman" w:cs="Times New Roman" w:eastAsia="Times New Roman" w:hAnsi="Times New Roman"/>
          <w:sz w:val="20"/>
          <w:szCs w:val="20"/>
          <w:color w:val="auto"/>
        </w:rPr>
        <w:t>” shall mean the criteria (and adjustments) that the Administrator selects for an Award to measure the level of performance during a performance period, as applicable, determined as follows:</w:t>
      </w:r>
    </w:p>
    <w:p>
      <w:pPr>
        <w:spacing w:after="0" w:line="75" w:lineRule="exact"/>
        <w:rPr>
          <w:sz w:val="20"/>
          <w:szCs w:val="20"/>
          <w:color w:val="auto"/>
        </w:rPr>
      </w:pPr>
    </w:p>
    <w:p>
      <w:pPr>
        <w:jc w:val="both"/>
        <w:ind w:firstLine="1278"/>
        <w:spacing w:after="0" w:line="267" w:lineRule="auto"/>
        <w:tabs>
          <w:tab w:leader="none" w:pos="1935" w:val="left"/>
        </w:tabs>
        <w:numPr>
          <w:ilvl w:val="1"/>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Performance Criteria may include, but is not limited to, the following: (i) net earnings (either before or after one or more of the following: (A) interest, (B) taxes, (C) depreciation and (D) amortization); (ii) gross or net sales or revenue; (iii) net income (either before or after taxes); (iv) adjusted net income; (v) operating earnings (including but not limited to EBITDA or adjusted EBITDA);</w:t>
      </w:r>
    </w:p>
    <w:p>
      <w:pPr>
        <w:spacing w:after="0" w:line="1" w:lineRule="exact"/>
        <w:rPr>
          <w:rFonts w:ascii="Times New Roman" w:cs="Times New Roman" w:eastAsia="Times New Roman" w:hAnsi="Times New Roman"/>
          <w:sz w:val="19"/>
          <w:szCs w:val="19"/>
          <w:color w:val="auto"/>
        </w:rPr>
      </w:pPr>
    </w:p>
    <w:p>
      <w:pPr>
        <w:jc w:val="both"/>
        <w:ind w:firstLine="8"/>
        <w:spacing w:after="0" w:line="261" w:lineRule="auto"/>
        <w:tabs>
          <w:tab w:leader="none" w:pos="339"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cash flow (including, but not limited to, operating cash flow and free cash flow); (vii) return on assets; (viii) return on capital; (ix) return on stockholders’ equity; (x) total stockholder return; (xi) return on sales; (xii) gross or net profit or operating margin; (xiii) operating or other costs and expenses; (xiv) funds from operations; (xv) improvements in expense levels; (xvi) working capital; (xvii) earnings per share; (xviii) adjusted earnings per share; (xix) price per share of Common Stock; (xx) regulatory body approval for commercialization of a product; (xxi) implementation or completion of critical projects; (xxii) market share; (xxiii) economic value; (xxiv) comparisons with various stock market indices; (xxv) capital raised in financing transactions or other financing milestones; (xxvi) stockholders’ equity; (xxvii) market recognition (including but not limited to awards and analyst ratings); (xxviii) financial ratios; (xxix) implementation, completion or attainment of objectively determinable objectives relating to research, development, regulatory, commercial, or strategic milestones or developments; and</w:t>
      </w:r>
    </w:p>
    <w:p>
      <w:pPr>
        <w:spacing w:after="0" w:line="2" w:lineRule="exact"/>
        <w:rPr>
          <w:rFonts w:ascii="Times New Roman" w:cs="Times New Roman" w:eastAsia="Times New Roman" w:hAnsi="Times New Roman"/>
          <w:sz w:val="19"/>
          <w:szCs w:val="19"/>
          <w:color w:val="auto"/>
        </w:rPr>
      </w:pPr>
    </w:p>
    <w:p>
      <w:pPr>
        <w:jc w:val="both"/>
        <w:ind w:firstLine="8"/>
        <w:spacing w:after="0" w:line="253" w:lineRule="auto"/>
        <w:tabs>
          <w:tab w:leader="none" w:pos="513"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similar criteria as determined by the Administrator; in each case as determined in accordance with Applicable Accounting Standards, if applicable, any of which may be measured either in absolute terms or as compared to any incremental increase or decrease or as compared to results of a peer group or to market performance indicators or indices.</w:t>
      </w:r>
    </w:p>
    <w:p>
      <w:pPr>
        <w:spacing w:after="0" w:line="107" w:lineRule="exact"/>
        <w:rPr>
          <w:rFonts w:ascii="Times New Roman" w:cs="Times New Roman" w:eastAsia="Times New Roman" w:hAnsi="Times New Roman"/>
          <w:sz w:val="20"/>
          <w:szCs w:val="20"/>
          <w:color w:val="auto"/>
        </w:rPr>
      </w:pPr>
    </w:p>
    <w:p>
      <w:pPr>
        <w:jc w:val="both"/>
        <w:ind w:firstLine="1278"/>
        <w:spacing w:after="0" w:line="250" w:lineRule="auto"/>
        <w:tabs>
          <w:tab w:leader="none" w:pos="1933"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Administrator may, in its sole discretion, provide that one or more objectively determinable adjustments shall be made to one or more of the Performance Criteria. Such adjustments may include, but are not limited to, one or more of the following: (i) items related to a change in accounting principle; (ii) items relating to financing activities; (iii) expenses for restructuring or productivity initiatives; (iv) other non-operating items; (v) items related to acquisitions; (vi) items attributable to the business operations of any entity acquired by the Company during the Performance Period; (vii) items related to the disposal of a business or segment of a business; (viii) items related to discontinued operations that do not qualify as a segment of a business under Applicable Accounting Standards; (ix) items attributable to any stock dividend, stock split, combination or exchange of stock occurring during the Performance Period; (x) any other items of significant income or expense which are determined to be appropriate adjustments; (xi) items relating to unusual or extraordinary corporate transactions, events or developments, (xii) items related to amortization of acquired intangible assets; (xiii) items that are outside the scope of the Company’s core, on-going business activities; (xiv) items related to acquired in-process research and development; (xv) items relating to changes in tax laws; (xvi) items relating to major licensing or partnership arrangements; (xvii) items relating to asset impairment charges; (xviii) items relating to gains or losses for litigation, arbitration and contractual settlements; (xix) items relating to any other unusual or nonrecurring events or changes in applicable laws, accounting principles or business conditions; or (xx) any such other items as determined by the Administrator.</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981" w:right="339" w:bottom="1440" w:gutter="0" w:footer="0" w:header="0"/>
        </w:sectPr>
      </w:pPr>
    </w:p>
    <w:bookmarkStart w:id="13" w:name="page14"/>
    <w:bookmarkEnd w:id="13"/>
    <w:p>
      <w:pPr>
        <w:ind w:right="140" w:firstLine="648"/>
        <w:spacing w:after="0" w:line="263" w:lineRule="auto"/>
        <w:rPr>
          <w:sz w:val="20"/>
          <w:szCs w:val="20"/>
          <w:color w:val="auto"/>
        </w:rPr>
      </w:pPr>
      <w:r>
        <w:rPr>
          <w:rFonts w:ascii="Times New Roman" w:cs="Times New Roman" w:eastAsia="Times New Roman" w:hAnsi="Times New Roman"/>
          <w:sz w:val="20"/>
          <w:szCs w:val="20"/>
          <w:color w:val="auto"/>
        </w:rPr>
        <w:t>2.33 “</w:t>
      </w:r>
      <w:r>
        <w:rPr>
          <w:rFonts w:ascii="Times New Roman" w:cs="Times New Roman" w:eastAsia="Times New Roman" w:hAnsi="Times New Roman"/>
          <w:sz w:val="20"/>
          <w:szCs w:val="20"/>
          <w:b w:val="1"/>
          <w:bCs w:val="1"/>
          <w:i w:val="1"/>
          <w:iCs w:val="1"/>
          <w:color w:val="auto"/>
        </w:rPr>
        <w:t>Performance Period</w:t>
      </w:r>
      <w:r>
        <w:rPr>
          <w:rFonts w:ascii="Times New Roman" w:cs="Times New Roman" w:eastAsia="Times New Roman" w:hAnsi="Times New Roman"/>
          <w:sz w:val="20"/>
          <w:szCs w:val="20"/>
          <w:color w:val="auto"/>
        </w:rPr>
        <w:t>” shall mean one or more periods of time, which may be of varying and overlapping durations, as the Administrator may select, over which the attainment of one or more Performance Criteria will be measured for the purpose of determining a Holder’s right to, and the payment of, an Award.</w:t>
      </w:r>
    </w:p>
    <w:p>
      <w:pPr>
        <w:spacing w:after="0" w:line="94" w:lineRule="exact"/>
        <w:rPr>
          <w:sz w:val="20"/>
          <w:szCs w:val="20"/>
          <w:color w:val="auto"/>
        </w:rPr>
      </w:pPr>
    </w:p>
    <w:p>
      <w:pPr>
        <w:ind w:right="100" w:firstLine="648"/>
        <w:spacing w:after="0" w:line="287" w:lineRule="auto"/>
        <w:rPr>
          <w:sz w:val="20"/>
          <w:szCs w:val="20"/>
          <w:color w:val="auto"/>
        </w:rPr>
      </w:pPr>
      <w:r>
        <w:rPr>
          <w:rFonts w:ascii="Times New Roman" w:cs="Times New Roman" w:eastAsia="Times New Roman" w:hAnsi="Times New Roman"/>
          <w:sz w:val="20"/>
          <w:szCs w:val="20"/>
          <w:color w:val="auto"/>
        </w:rPr>
        <w:t>2.34 “</w:t>
      </w:r>
      <w:r>
        <w:rPr>
          <w:rFonts w:ascii="Times New Roman" w:cs="Times New Roman" w:eastAsia="Times New Roman" w:hAnsi="Times New Roman"/>
          <w:sz w:val="20"/>
          <w:szCs w:val="20"/>
          <w:b w:val="1"/>
          <w:bCs w:val="1"/>
          <w:i w:val="1"/>
          <w:iCs w:val="1"/>
          <w:color w:val="auto"/>
        </w:rPr>
        <w:t>Performance Stock Unit</w:t>
      </w:r>
      <w:r>
        <w:rPr>
          <w:rFonts w:ascii="Times New Roman" w:cs="Times New Roman" w:eastAsia="Times New Roman" w:hAnsi="Times New Roman"/>
          <w:sz w:val="20"/>
          <w:szCs w:val="20"/>
          <w:color w:val="auto"/>
        </w:rPr>
        <w:t>” shall mean a Performance Award awarded under Section 8.1 which is denominated in units of value including dollar value of shares of Common Stock.</w:t>
      </w:r>
    </w:p>
    <w:p>
      <w:pPr>
        <w:spacing w:after="0" w:line="71" w:lineRule="exact"/>
        <w:rPr>
          <w:sz w:val="20"/>
          <w:szCs w:val="20"/>
          <w:color w:val="auto"/>
        </w:rPr>
      </w:pPr>
    </w:p>
    <w:p>
      <w:pPr>
        <w:jc w:val="both"/>
        <w:ind w:right="720" w:firstLine="648"/>
        <w:spacing w:after="0" w:line="263" w:lineRule="auto"/>
        <w:rPr>
          <w:sz w:val="20"/>
          <w:szCs w:val="20"/>
          <w:color w:val="auto"/>
        </w:rPr>
      </w:pPr>
      <w:r>
        <w:rPr>
          <w:rFonts w:ascii="Times New Roman" w:cs="Times New Roman" w:eastAsia="Times New Roman" w:hAnsi="Times New Roman"/>
          <w:sz w:val="20"/>
          <w:szCs w:val="20"/>
          <w:color w:val="auto"/>
        </w:rPr>
        <w:t>2.35 “</w:t>
      </w:r>
      <w:r>
        <w:rPr>
          <w:rFonts w:ascii="Times New Roman" w:cs="Times New Roman" w:eastAsia="Times New Roman" w:hAnsi="Times New Roman"/>
          <w:sz w:val="20"/>
          <w:szCs w:val="20"/>
          <w:b w:val="1"/>
          <w:bCs w:val="1"/>
          <w:i w:val="1"/>
          <w:iCs w:val="1"/>
          <w:color w:val="auto"/>
        </w:rPr>
        <w:t>Permitted Transferee</w:t>
      </w:r>
      <w:r>
        <w:rPr>
          <w:rFonts w:ascii="Times New Roman" w:cs="Times New Roman" w:eastAsia="Times New Roman" w:hAnsi="Times New Roman"/>
          <w:sz w:val="20"/>
          <w:szCs w:val="20"/>
          <w:color w:val="auto"/>
        </w:rPr>
        <w:t>” shall mean, with respect to a Holder, any “family member” of the Holder, as defined under the instructions to use the Form S-8 Registration Statement under the Securities Act, or any other transferee specifically approved by the Administrator after taking into account Applicable Law.</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2.36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shall have the meaning set forth in Article 1.</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2.37“</w:t>
      </w:r>
      <w:r>
        <w:rPr>
          <w:rFonts w:ascii="Times New Roman" w:cs="Times New Roman" w:eastAsia="Times New Roman" w:hAnsi="Times New Roman"/>
          <w:sz w:val="19"/>
          <w:szCs w:val="19"/>
          <w:b w:val="1"/>
          <w:bCs w:val="1"/>
          <w:i w:val="1"/>
          <w:iCs w:val="1"/>
          <w:color w:val="auto"/>
        </w:rPr>
        <w:t>Prior Plan</w:t>
      </w:r>
      <w:r>
        <w:rPr>
          <w:rFonts w:ascii="Times New Roman" w:cs="Times New Roman" w:eastAsia="Times New Roman" w:hAnsi="Times New Roman"/>
          <w:sz w:val="19"/>
          <w:szCs w:val="19"/>
          <w:color w:val="auto"/>
        </w:rPr>
        <w:t>” shall mean the Globus Medical, Inc. 2012 Equity Incentive Plan, as such plan was or may be amended from time to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time.</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2.38 “</w:t>
      </w:r>
      <w:r>
        <w:rPr>
          <w:rFonts w:ascii="Times New Roman" w:cs="Times New Roman" w:eastAsia="Times New Roman" w:hAnsi="Times New Roman"/>
          <w:sz w:val="20"/>
          <w:szCs w:val="20"/>
          <w:b w:val="1"/>
          <w:bCs w:val="1"/>
          <w:i w:val="1"/>
          <w:iCs w:val="1"/>
          <w:color w:val="auto"/>
        </w:rPr>
        <w:t>Prior Plan Award</w:t>
      </w:r>
      <w:r>
        <w:rPr>
          <w:rFonts w:ascii="Times New Roman" w:cs="Times New Roman" w:eastAsia="Times New Roman" w:hAnsi="Times New Roman"/>
          <w:sz w:val="20"/>
          <w:szCs w:val="20"/>
          <w:color w:val="auto"/>
        </w:rPr>
        <w:t>” shall mean an award outstanding under the Prior Plan as of the Effective Date.</w:t>
      </w:r>
    </w:p>
    <w:p>
      <w:pPr>
        <w:spacing w:after="0" w:line="148" w:lineRule="exact"/>
        <w:rPr>
          <w:sz w:val="20"/>
          <w:szCs w:val="20"/>
          <w:color w:val="auto"/>
        </w:rPr>
      </w:pPr>
    </w:p>
    <w:p>
      <w:pPr>
        <w:ind w:right="160" w:firstLine="648"/>
        <w:spacing w:after="0" w:line="287" w:lineRule="auto"/>
        <w:rPr>
          <w:sz w:val="20"/>
          <w:szCs w:val="20"/>
          <w:color w:val="auto"/>
        </w:rPr>
      </w:pPr>
      <w:r>
        <w:rPr>
          <w:rFonts w:ascii="Times New Roman" w:cs="Times New Roman" w:eastAsia="Times New Roman" w:hAnsi="Times New Roman"/>
          <w:sz w:val="20"/>
          <w:szCs w:val="20"/>
          <w:color w:val="auto"/>
        </w:rPr>
        <w:t>2.39 “</w:t>
      </w:r>
      <w:r>
        <w:rPr>
          <w:rFonts w:ascii="Times New Roman" w:cs="Times New Roman" w:eastAsia="Times New Roman" w:hAnsi="Times New Roman"/>
          <w:sz w:val="20"/>
          <w:szCs w:val="20"/>
          <w:b w:val="1"/>
          <w:bCs w:val="1"/>
          <w:i w:val="1"/>
          <w:iCs w:val="1"/>
          <w:color w:val="auto"/>
        </w:rPr>
        <w:t>Restricted Stock</w:t>
      </w:r>
      <w:r>
        <w:rPr>
          <w:rFonts w:ascii="Times New Roman" w:cs="Times New Roman" w:eastAsia="Times New Roman" w:hAnsi="Times New Roman"/>
          <w:sz w:val="20"/>
          <w:szCs w:val="20"/>
          <w:color w:val="auto"/>
        </w:rPr>
        <w:t>” shall mean Shares awarded under Article 6 that are subject to certain restrictions and may be subject to risk of forfeiture or repurchase.</w:t>
      </w:r>
    </w:p>
    <w:p>
      <w:pPr>
        <w:spacing w:after="0" w:line="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2.40 “</w:t>
      </w:r>
      <w:r>
        <w:rPr>
          <w:rFonts w:ascii="Times New Roman" w:cs="Times New Roman" w:eastAsia="Times New Roman" w:hAnsi="Times New Roman"/>
          <w:sz w:val="20"/>
          <w:szCs w:val="20"/>
          <w:b w:val="1"/>
          <w:bCs w:val="1"/>
          <w:i w:val="1"/>
          <w:iCs w:val="1"/>
          <w:color w:val="auto"/>
        </w:rPr>
        <w:t>Restricted Stock Units</w:t>
      </w:r>
      <w:r>
        <w:rPr>
          <w:rFonts w:ascii="Times New Roman" w:cs="Times New Roman" w:eastAsia="Times New Roman" w:hAnsi="Times New Roman"/>
          <w:sz w:val="20"/>
          <w:szCs w:val="20"/>
          <w:color w:val="auto"/>
        </w:rPr>
        <w:t>” shall mean the right to receive Shares awarded under Article 7.</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2.41 “</w:t>
      </w:r>
      <w:r>
        <w:rPr>
          <w:rFonts w:ascii="Times New Roman" w:cs="Times New Roman" w:eastAsia="Times New Roman" w:hAnsi="Times New Roman"/>
          <w:sz w:val="20"/>
          <w:szCs w:val="20"/>
          <w:b w:val="1"/>
          <w:bCs w:val="1"/>
          <w:i w:val="1"/>
          <w:iCs w:val="1"/>
          <w:color w:val="auto"/>
        </w:rPr>
        <w:t>Securities Act</w:t>
      </w:r>
      <w:r>
        <w:rPr>
          <w:rFonts w:ascii="Times New Roman" w:cs="Times New Roman" w:eastAsia="Times New Roman" w:hAnsi="Times New Roman"/>
          <w:sz w:val="20"/>
          <w:szCs w:val="20"/>
          <w:color w:val="auto"/>
        </w:rPr>
        <w:t>” shall mean the Securities Act of 1933, as amended.</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2.42 “</w:t>
      </w:r>
      <w:r>
        <w:rPr>
          <w:rFonts w:ascii="Times New Roman" w:cs="Times New Roman" w:eastAsia="Times New Roman" w:hAnsi="Times New Roman"/>
          <w:sz w:val="20"/>
          <w:szCs w:val="20"/>
          <w:b w:val="1"/>
          <w:bCs w:val="1"/>
          <w:i w:val="1"/>
          <w:iCs w:val="1"/>
          <w:color w:val="auto"/>
        </w:rPr>
        <w:t>Shares</w:t>
      </w:r>
      <w:r>
        <w:rPr>
          <w:rFonts w:ascii="Times New Roman" w:cs="Times New Roman" w:eastAsia="Times New Roman" w:hAnsi="Times New Roman"/>
          <w:sz w:val="20"/>
          <w:szCs w:val="20"/>
          <w:color w:val="auto"/>
        </w:rPr>
        <w:t>” shall mean shares of Common Stock.</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2.43 “</w:t>
      </w:r>
      <w:r>
        <w:rPr>
          <w:rFonts w:ascii="Times New Roman" w:cs="Times New Roman" w:eastAsia="Times New Roman" w:hAnsi="Times New Roman"/>
          <w:sz w:val="20"/>
          <w:szCs w:val="20"/>
          <w:b w:val="1"/>
          <w:bCs w:val="1"/>
          <w:i w:val="1"/>
          <w:iCs w:val="1"/>
          <w:color w:val="auto"/>
        </w:rPr>
        <w:t>Stock Appreciation Right</w:t>
      </w:r>
      <w:r>
        <w:rPr>
          <w:rFonts w:ascii="Times New Roman" w:cs="Times New Roman" w:eastAsia="Times New Roman" w:hAnsi="Times New Roman"/>
          <w:sz w:val="20"/>
          <w:szCs w:val="20"/>
          <w:color w:val="auto"/>
        </w:rPr>
        <w:t>” shall mean a stock appreciation right granted under Article 9.</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2.44 “</w:t>
      </w:r>
      <w:r>
        <w:rPr>
          <w:rFonts w:ascii="Times New Roman" w:cs="Times New Roman" w:eastAsia="Times New Roman" w:hAnsi="Times New Roman"/>
          <w:sz w:val="20"/>
          <w:szCs w:val="20"/>
          <w:b w:val="1"/>
          <w:bCs w:val="1"/>
          <w:i w:val="1"/>
          <w:iCs w:val="1"/>
          <w:color w:val="auto"/>
        </w:rPr>
        <w:t>Stock Appreciation Right Term</w:t>
      </w:r>
      <w:r>
        <w:rPr>
          <w:rFonts w:ascii="Times New Roman" w:cs="Times New Roman" w:eastAsia="Times New Roman" w:hAnsi="Times New Roman"/>
          <w:sz w:val="20"/>
          <w:szCs w:val="20"/>
          <w:color w:val="auto"/>
        </w:rPr>
        <w:t>” shall have the meaning set forth in Section 9.4.</w:t>
      </w:r>
    </w:p>
    <w:p>
      <w:pPr>
        <w:spacing w:after="0" w:line="148" w:lineRule="exact"/>
        <w:rPr>
          <w:sz w:val="20"/>
          <w:szCs w:val="20"/>
          <w:color w:val="auto"/>
        </w:rPr>
      </w:pPr>
    </w:p>
    <w:p>
      <w:pPr>
        <w:ind w:right="160" w:firstLine="648"/>
        <w:spacing w:after="0" w:line="287" w:lineRule="auto"/>
        <w:rPr>
          <w:sz w:val="20"/>
          <w:szCs w:val="20"/>
          <w:color w:val="auto"/>
        </w:rPr>
      </w:pPr>
      <w:r>
        <w:rPr>
          <w:rFonts w:ascii="Times New Roman" w:cs="Times New Roman" w:eastAsia="Times New Roman" w:hAnsi="Times New Roman"/>
          <w:sz w:val="20"/>
          <w:szCs w:val="20"/>
          <w:color w:val="auto"/>
        </w:rPr>
        <w:t>2.45 “</w:t>
      </w:r>
      <w:r>
        <w:rPr>
          <w:rFonts w:ascii="Times New Roman" w:cs="Times New Roman" w:eastAsia="Times New Roman" w:hAnsi="Times New Roman"/>
          <w:sz w:val="20"/>
          <w:szCs w:val="20"/>
          <w:b w:val="1"/>
          <w:bCs w:val="1"/>
          <w:i w:val="1"/>
          <w:iCs w:val="1"/>
          <w:color w:val="auto"/>
        </w:rPr>
        <w:t>Stock Payment</w:t>
      </w:r>
      <w:r>
        <w:rPr>
          <w:rFonts w:ascii="Times New Roman" w:cs="Times New Roman" w:eastAsia="Times New Roman" w:hAnsi="Times New Roman"/>
          <w:sz w:val="20"/>
          <w:szCs w:val="20"/>
          <w:color w:val="auto"/>
        </w:rPr>
        <w:t>” shall mean (a) a payment in the form of Shares or (b) an option or other right to purchase Shares, as part of a bonus, deferred compensation or other arrangement, awarded under Section 8.2.</w:t>
      </w:r>
    </w:p>
    <w:p>
      <w:pPr>
        <w:spacing w:after="0" w:line="71" w:lineRule="exact"/>
        <w:rPr>
          <w:sz w:val="20"/>
          <w:szCs w:val="20"/>
          <w:color w:val="auto"/>
        </w:rPr>
      </w:pPr>
    </w:p>
    <w:p>
      <w:pPr>
        <w:ind w:right="280" w:firstLine="648"/>
        <w:spacing w:after="0" w:line="260" w:lineRule="auto"/>
        <w:rPr>
          <w:sz w:val="20"/>
          <w:szCs w:val="20"/>
          <w:color w:val="auto"/>
        </w:rPr>
      </w:pPr>
      <w:r>
        <w:rPr>
          <w:rFonts w:ascii="Times New Roman" w:cs="Times New Roman" w:eastAsia="Times New Roman" w:hAnsi="Times New Roman"/>
          <w:sz w:val="20"/>
          <w:szCs w:val="20"/>
          <w:color w:val="auto"/>
        </w:rPr>
        <w:t>2.46“</w:t>
      </w:r>
      <w:r>
        <w:rPr>
          <w:rFonts w:ascii="Times New Roman" w:cs="Times New Roman" w:eastAsia="Times New Roman" w:hAnsi="Times New Roman"/>
          <w:sz w:val="20"/>
          <w:szCs w:val="20"/>
          <w:b w:val="1"/>
          <w:bCs w:val="1"/>
          <w:i w:val="1"/>
          <w:iCs w:val="1"/>
          <w:color w:val="auto"/>
        </w:rPr>
        <w:t>Subsidiary</w:t>
      </w:r>
      <w:r>
        <w:rPr>
          <w:rFonts w:ascii="Times New Roman" w:cs="Times New Roman" w:eastAsia="Times New Roman" w:hAnsi="Times New Roman"/>
          <w:sz w:val="20"/>
          <w:szCs w:val="20"/>
          <w:color w:val="auto"/>
        </w:rPr>
        <w:t>” shall mean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50% of the total combined voting power of all classes of securities or interests in one of the other entities in such chain.</w:t>
      </w:r>
    </w:p>
    <w:p>
      <w:pPr>
        <w:spacing w:after="0" w:line="97" w:lineRule="exact"/>
        <w:rPr>
          <w:sz w:val="20"/>
          <w:szCs w:val="20"/>
          <w:color w:val="auto"/>
        </w:rPr>
      </w:pPr>
    </w:p>
    <w:p>
      <w:pPr>
        <w:ind w:right="120" w:firstLine="648"/>
        <w:spacing w:after="0" w:line="260" w:lineRule="auto"/>
        <w:rPr>
          <w:sz w:val="20"/>
          <w:szCs w:val="20"/>
          <w:color w:val="auto"/>
        </w:rPr>
      </w:pPr>
      <w:r>
        <w:rPr>
          <w:rFonts w:ascii="Times New Roman" w:cs="Times New Roman" w:eastAsia="Times New Roman" w:hAnsi="Times New Roman"/>
          <w:sz w:val="20"/>
          <w:szCs w:val="20"/>
          <w:color w:val="auto"/>
        </w:rPr>
        <w:t>2.47 “</w:t>
      </w:r>
      <w:r>
        <w:rPr>
          <w:rFonts w:ascii="Times New Roman" w:cs="Times New Roman" w:eastAsia="Times New Roman" w:hAnsi="Times New Roman"/>
          <w:sz w:val="20"/>
          <w:szCs w:val="20"/>
          <w:b w:val="1"/>
          <w:bCs w:val="1"/>
          <w:i w:val="1"/>
          <w:iCs w:val="1"/>
          <w:color w:val="auto"/>
        </w:rPr>
        <w:t>Substitute Award</w:t>
      </w:r>
      <w:r>
        <w:rPr>
          <w:rFonts w:ascii="Times New Roman" w:cs="Times New Roman" w:eastAsia="Times New Roman" w:hAnsi="Times New Roman"/>
          <w:sz w:val="20"/>
          <w:szCs w:val="20"/>
          <w:color w:val="auto"/>
        </w:rPr>
        <w:t xml:space="preserve">” shall mean an Award granted under the Plan upon the assumption of, or in substitution for, outstanding equity awards previously granted by a company or other entity in connection with a corporate transaction, such as a merger, combination, consolidation or acquisition of property or stock;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no event shall the term “Substitute Award” be construed to refer to an award made in connection with the cancellation and repricing of an Option or Stock Appreciation Right.</w:t>
      </w:r>
    </w:p>
    <w:p>
      <w:pPr>
        <w:spacing w:after="0" w:line="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2.48 “</w:t>
      </w:r>
      <w:r>
        <w:rPr>
          <w:rFonts w:ascii="Times New Roman" w:cs="Times New Roman" w:eastAsia="Times New Roman" w:hAnsi="Times New Roman"/>
          <w:sz w:val="20"/>
          <w:szCs w:val="20"/>
          <w:b w:val="1"/>
          <w:bCs w:val="1"/>
          <w:i w:val="1"/>
          <w:iCs w:val="1"/>
          <w:color w:val="auto"/>
        </w:rPr>
        <w:t>Termination of Service</w:t>
      </w:r>
      <w:r>
        <w:rPr>
          <w:rFonts w:ascii="Times New Roman" w:cs="Times New Roman" w:eastAsia="Times New Roman" w:hAnsi="Times New Roman"/>
          <w:sz w:val="20"/>
          <w:szCs w:val="20"/>
          <w:color w:val="auto"/>
        </w:rPr>
        <w:t>” shall mean:</w:t>
      </w:r>
    </w:p>
    <w:p>
      <w:pPr>
        <w:spacing w:after="0" w:line="152" w:lineRule="exact"/>
        <w:rPr>
          <w:sz w:val="20"/>
          <w:szCs w:val="20"/>
          <w:color w:val="auto"/>
        </w:rPr>
      </w:pPr>
    </w:p>
    <w:p>
      <w:pPr>
        <w:jc w:val="both"/>
        <w:ind w:firstLine="1278"/>
        <w:spacing w:after="0" w:line="258" w:lineRule="auto"/>
        <w:tabs>
          <w:tab w:leader="none" w:pos="1935"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a Consultant, the time when the engagement of a Holder as a Consultant to the Company or any Subsidiary is terminated for any reason, with or without Misconduct, including, without limitation, by resignation, discharge, death, retirement or expiration of the consulting relationship, but excluding terminations where the Consultant simultaneously commences or remains in employment or service with the Company or any Subsidiary.</w:t>
      </w:r>
    </w:p>
    <w:p>
      <w:pPr>
        <w:spacing w:after="0" w:line="104" w:lineRule="exact"/>
        <w:rPr>
          <w:rFonts w:ascii="Times New Roman" w:cs="Times New Roman" w:eastAsia="Times New Roman" w:hAnsi="Times New Roman"/>
          <w:sz w:val="20"/>
          <w:szCs w:val="20"/>
          <w:color w:val="auto"/>
        </w:rPr>
      </w:pPr>
    </w:p>
    <w:p>
      <w:pPr>
        <w:jc w:val="both"/>
        <w:ind w:firstLine="1278"/>
        <w:spacing w:after="0" w:line="258" w:lineRule="auto"/>
        <w:tabs>
          <w:tab w:leader="none" w:pos="1933"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a Non-Employee Director, the time when a Holder who is a Non-Employee Director ceases to be a Director for any reason, with or without Misconduct, including, without limitation, a termination by resignation, failure to be elected or reelected, removal, death or retirement, but excluding terminations where the Holder simultaneously commences or remains in employment or service with the Company or any Subsidiary.</w:t>
      </w:r>
    </w:p>
    <w:p>
      <w:pPr>
        <w:spacing w:after="0" w:line="104" w:lineRule="exact"/>
        <w:rPr>
          <w:rFonts w:ascii="Times New Roman" w:cs="Times New Roman" w:eastAsia="Times New Roman" w:hAnsi="Times New Roman"/>
          <w:sz w:val="20"/>
          <w:szCs w:val="20"/>
          <w:color w:val="auto"/>
        </w:rPr>
      </w:pPr>
    </w:p>
    <w:p>
      <w:pPr>
        <w:jc w:val="both"/>
        <w:ind w:firstLine="1278"/>
        <w:spacing w:after="0" w:line="258" w:lineRule="auto"/>
        <w:tabs>
          <w:tab w:leader="none" w:pos="1935"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an Employee, the time when the employee-employer relationship between a Holder and the Company or any Subsidiary is terminated for any reason, with or without Misconduct, including, without limitation, a termination by resignation, discharge, death, disability or retirement, but excluding terminations where the Holder simultaneously commences or remains in employment or service with the Company or any Subsidiary.</w:t>
      </w:r>
    </w:p>
    <w:p>
      <w:pPr>
        <w:sectPr>
          <w:pgSz w:w="11900" w:h="16838" w:orient="portrait"/>
          <w:cols w:equalWidth="0" w:num="1">
            <w:col w:w="11240"/>
          </w:cols>
          <w:pgMar w:left="320" w:top="977" w:right="339" w:bottom="1440" w:gutter="0" w:footer="0" w:header="0"/>
        </w:sect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240"/>
          </w:cols>
          <w:pgMar w:left="320" w:top="977" w:right="339" w:bottom="1440" w:gutter="0" w:footer="0" w:header="0"/>
          <w:type w:val="continuous"/>
        </w:sectPr>
      </w:pPr>
    </w:p>
    <w:bookmarkStart w:id="14" w:name="page15"/>
    <w:bookmarkEnd w:id="14"/>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The Administrator, in its sole discretion but subject to Section 12.11 (if applicable), shall determine the effect of all matters and questions relating to Terminations of Service, including, without limitation, the question of whether a Termination of Service resulted from a discharge for Misconduct and all questions of whether particular leaves of absence constitute a Termination of Service;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with respect to Incentive Stock Options, unless the Administrator otherwise provides in the terms of the Award Agreement or otherwise, a leave of absence, change in status from an employee to an independent contractor or other change in the employee-employer relationship shall constitute a Termination of Service only if, and to the extent that, such leave of absence, change in status or other change interrupts employment for the purposes of Section 422(a)(2) of the Code and the then applicable regulations and revenue rulings under said Section. For purposes of the Plan, a Holder’s employee-employer relationship or consultancy relationship shall be deemed to be terminated in the event that the Subsidiary employing or contracting with such Holder ceases to remain a Subsidiary following any merger, sale of stock or other corporate transaction or event (including, without limitation, a spin-off).</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3.</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SHARES SUBJECT TO THE PLAN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u w:val="single" w:color="auto"/>
          <w:color w:val="auto"/>
        </w:rPr>
        <w:t>Number of Shares.</w:t>
      </w:r>
    </w:p>
    <w:p>
      <w:pPr>
        <w:spacing w:after="0" w:line="148" w:lineRule="exact"/>
        <w:rPr>
          <w:sz w:val="20"/>
          <w:szCs w:val="20"/>
          <w:color w:val="auto"/>
        </w:rPr>
      </w:pPr>
    </w:p>
    <w:p>
      <w:pPr>
        <w:jc w:val="both"/>
        <w:ind w:firstLine="1278"/>
        <w:spacing w:after="0" w:line="251" w:lineRule="auto"/>
        <w:tabs>
          <w:tab w:leader="none" w:pos="1935"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12.2 and Section 3.1(b) and, with respect to Incentive Stock Options only, to the penultimate sentence of this Section 3.1(a), the aggregate number of Shares that may be issued or transferred pursuant to Awards under the Plan is the sum of (i) 12,000,000, and (ii) any Shares which as of the Effective Date are available for issuance under the Prior Plan, or are subject to Prior Plan Awards which become available for future grants of Awards under the Plan following the Effective Date pursuant to Section 3.1(b). Notwithstanding anything in this Section 3.1 to the contrary, the aggregate number of Shares that may be issued or transferred pursuant to Incentive Stock Options under the Plan shall not exceed 12,000,000 Shares, subject to Section 3.1(c) and subject to adjustment pursuant to Section 12.2. From and after the Effective Date, no awards shall be granted under the Prior Plan; however, any Prior Plan Award shall continue to be subject to the terms and conditions of the Prior Plan.</w:t>
      </w:r>
    </w:p>
    <w:p>
      <w:pPr>
        <w:spacing w:after="0" w:line="114" w:lineRule="exact"/>
        <w:rPr>
          <w:rFonts w:ascii="Times New Roman" w:cs="Times New Roman" w:eastAsia="Times New Roman" w:hAnsi="Times New Roman"/>
          <w:sz w:val="20"/>
          <w:szCs w:val="20"/>
          <w:color w:val="auto"/>
        </w:rPr>
      </w:pPr>
    </w:p>
    <w:p>
      <w:pPr>
        <w:jc w:val="both"/>
        <w:ind w:firstLine="1278"/>
        <w:spacing w:after="0" w:line="251" w:lineRule="auto"/>
        <w:tabs>
          <w:tab w:leader="none" w:pos="1933"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all or a portion of an Award or a Prior Plan Award is forfeited, terminates, expires or lapses for any reason, or is settled for cash without the delivery of Shares to the Holder, any Shares subject to such Award, Prior Plan Award or portion thereof, to the extent of such forfeiture, termination, expiration, lapse or cash settlement, shall again be or shall become, as applicable, available for the grant of an Award pursuant to the Plan. Any Shares tendered by a Holder or withheld by the Company or any Subsidiary to satisfy the grant or exercise price or tax withholding obligation in connection with all or a portion of an Award or Prior Plan Award shall again be or shall become, as applicable, available for the grant of an Award pursuant to the Plan. Any Shares subject to a Stock Appreciation Right that are not issued in connection with the stock settlement of the Stock Appreciation Right on exercise thereof shall again be available for the grant of an Award pursuant to the Plan. Any Shares repurchased by or surrendered to the Company pursuant to Section 6.5 or in connection with any Prior Plan Award so that such Shares are returned to the Company shall again be or shall become, as applicable, available for the grant of an Award pursuant to the Plan. Notwithstanding the provisions of this Section 3.1(b), no Shares may again be or, as applicable, may become eligible to be, optioned, granted or awarded if such action would cause an Incentive Stock Option to fail to qualify as an incentive stock option under Section 422 of the Code.</w:t>
      </w:r>
    </w:p>
    <w:p>
      <w:pPr>
        <w:spacing w:after="0" w:line="110" w:lineRule="exact"/>
        <w:rPr>
          <w:rFonts w:ascii="Times New Roman" w:cs="Times New Roman" w:eastAsia="Times New Roman" w:hAnsi="Times New Roman"/>
          <w:sz w:val="20"/>
          <w:szCs w:val="20"/>
          <w:color w:val="auto"/>
        </w:rPr>
      </w:pPr>
    </w:p>
    <w:p>
      <w:pPr>
        <w:jc w:val="both"/>
        <w:ind w:firstLine="1278"/>
        <w:spacing w:after="0" w:line="250" w:lineRule="auto"/>
        <w:tabs>
          <w:tab w:leader="none" w:pos="1935"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permitted by Applicable Law, Substitute Awards shall not reduce the Shares authorized for grant under the Plan. Additionally, in the event that a company acquired by the Company or any Subsidiary or with which the Company or any Subsidiary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Awards using such available shares shall not be made after the date awards or grants could have been made under the terms of the pre-existing plan, absent the acquisition or combination, and shall only be made to individuals who were not employed by or providing services to the Company or its Subsidiaries immediately prior to such acquisition or combination.</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981" w:right="339" w:bottom="1440" w:gutter="0" w:footer="0" w:header="0"/>
        </w:sectPr>
      </w:pPr>
    </w:p>
    <w:bookmarkStart w:id="15" w:name="page16"/>
    <w:bookmarkEnd w:id="15"/>
    <w:p>
      <w:pPr>
        <w:ind w:right="460" w:firstLine="648"/>
        <w:spacing w:after="0" w:line="283"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u w:val="single" w:color="auto"/>
          <w:color w:val="auto"/>
        </w:rPr>
        <w:t>Stock Distributed</w:t>
      </w:r>
      <w:r>
        <w:rPr>
          <w:rFonts w:ascii="Times New Roman" w:cs="Times New Roman" w:eastAsia="Times New Roman" w:hAnsi="Times New Roman"/>
          <w:sz w:val="20"/>
          <w:szCs w:val="20"/>
          <w:color w:val="auto"/>
        </w:rPr>
        <w:t>. Any Shares distributed pursuant to an Award may consist, in whole or in part, of authorized and unissued Common Stock, treasury Common Stock or Common Stock purchased on the open market.</w:t>
      </w:r>
    </w:p>
    <w:p>
      <w:pPr>
        <w:spacing w:after="0" w:line="7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3.3 </w:t>
      </w:r>
      <w:r>
        <w:rPr>
          <w:rFonts w:ascii="Times New Roman" w:cs="Times New Roman" w:eastAsia="Times New Roman" w:hAnsi="Times New Roman"/>
          <w:sz w:val="20"/>
          <w:szCs w:val="20"/>
          <w:u w:val="single" w:color="auto"/>
          <w:color w:val="auto"/>
        </w:rPr>
        <w:t>Minimum Vesting Requirement</w:t>
      </w:r>
      <w:r>
        <w:rPr>
          <w:rFonts w:ascii="Times New Roman" w:cs="Times New Roman" w:eastAsia="Times New Roman" w:hAnsi="Times New Roman"/>
          <w:sz w:val="20"/>
          <w:szCs w:val="20"/>
          <w:color w:val="auto"/>
        </w:rPr>
        <w:t>. Notwithstanding any other provision of the Plan to the contrary, Awards granted under the Plan shall not vest over a period of less than one year from the date on which the Award is granted; provided that the following Awards shall not be subject to the foregoing minimum vesting requirement: any (i) Substitute Awards (as such term is defined in Section 2.47), (ii) Awards to Non-Employee Directors that vest on the earlier of the one-year anniversary of the date of grant and the next annual meeting of stockholders that is at least 50 weeks after the immediately preceding year’s annual meeting, and (iii) any additional Awards that the Administrator may grant, up to a maximum of five percent (5%) of the available share reserve authorized or issuance under the Plan under Section 3.1 (subject to adjustment under Section 12.2); provided, further, that the Administrator may authorize acceleration of vesting of such Awards in the event of the Participant’s death or Disability, or the occurrence of a Change in Control as provided in Section 12.2.</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4.</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GRANTING OF AWARDS</w:t>
      </w:r>
    </w:p>
    <w:p>
      <w:pPr>
        <w:spacing w:after="0" w:line="148" w:lineRule="exact"/>
        <w:rPr>
          <w:sz w:val="20"/>
          <w:szCs w:val="20"/>
          <w:color w:val="auto"/>
        </w:rPr>
      </w:pPr>
    </w:p>
    <w:p>
      <w:pPr>
        <w:ind w:right="100" w:firstLine="648"/>
        <w:spacing w:after="0" w:line="268"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u w:val="single" w:color="auto"/>
          <w:color w:val="auto"/>
        </w:rPr>
        <w:t>Participation</w:t>
      </w:r>
      <w:r>
        <w:rPr>
          <w:rFonts w:ascii="Times New Roman" w:cs="Times New Roman" w:eastAsia="Times New Roman" w:hAnsi="Times New Roman"/>
          <w:sz w:val="20"/>
          <w:szCs w:val="20"/>
          <w:color w:val="auto"/>
        </w:rPr>
        <w:t>. The Administrator may, from time to time, select from among all Eligible Individuals those to whom an Award shall be granted and shall determine the nature and amount of each Award, which shall not be inconsistent with the requirements of the Plan. No Eligible Individual shall have any right to be granted an Award pursuant to the Plan.</w:t>
      </w:r>
    </w:p>
    <w:p>
      <w:pPr>
        <w:spacing w:after="0" w:line="9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u w:val="single" w:color="auto"/>
          <w:color w:val="auto"/>
        </w:rPr>
        <w:t>Award Agreement</w:t>
      </w:r>
      <w:r>
        <w:rPr>
          <w:rFonts w:ascii="Times New Roman" w:cs="Times New Roman" w:eastAsia="Times New Roman" w:hAnsi="Times New Roman"/>
          <w:sz w:val="20"/>
          <w:szCs w:val="20"/>
          <w:color w:val="auto"/>
        </w:rPr>
        <w:t>. Unless otherwise determined by the Administrator, each Award shall be evidenced by an Award Agreement that sets forth the terms, conditions and limitations for such Award, which may include the term of the Award, the provisions applicable in the event of the Holder’s Termination of Service, and the Company’s authority to unilaterally or bilaterally amend, modify, suspend, cancel or rescind an Award. Award Agreements evidencing Incentive Stock Options shall contain such terms and conditions as may be necessary to meet the applicable provisions of Section 422 of the Code.</w:t>
      </w:r>
    </w:p>
    <w:p>
      <w:pPr>
        <w:spacing w:after="0" w:line="111" w:lineRule="exact"/>
        <w:rPr>
          <w:sz w:val="20"/>
          <w:szCs w:val="20"/>
          <w:color w:val="auto"/>
        </w:rPr>
      </w:pPr>
    </w:p>
    <w:p>
      <w:pPr>
        <w:ind w:right="120" w:firstLine="648"/>
        <w:spacing w:after="0" w:line="274" w:lineRule="auto"/>
        <w:rPr>
          <w:sz w:val="20"/>
          <w:szCs w:val="20"/>
          <w:color w:val="auto"/>
        </w:rPr>
      </w:pPr>
      <w:r>
        <w:rPr>
          <w:rFonts w:ascii="Times New Roman" w:cs="Times New Roman" w:eastAsia="Times New Roman" w:hAnsi="Times New Roman"/>
          <w:sz w:val="19"/>
          <w:szCs w:val="19"/>
          <w:color w:val="auto"/>
        </w:rPr>
        <w:t xml:space="preserve">4.3 </w:t>
      </w:r>
      <w:r>
        <w:rPr>
          <w:rFonts w:ascii="Times New Roman" w:cs="Times New Roman" w:eastAsia="Times New Roman" w:hAnsi="Times New Roman"/>
          <w:sz w:val="19"/>
          <w:szCs w:val="19"/>
          <w:u w:val="single" w:color="auto"/>
          <w:color w:val="auto"/>
        </w:rPr>
        <w:t>Limitations Applicable to Section 16 Persons</w:t>
      </w:r>
      <w:r>
        <w:rPr>
          <w:rFonts w:ascii="Times New Roman" w:cs="Times New Roman" w:eastAsia="Times New Roman" w:hAnsi="Times New Roman"/>
          <w:sz w:val="19"/>
          <w:szCs w:val="19"/>
          <w:color w:val="auto"/>
        </w:rPr>
        <w:t>. Notwithstanding any other provision of the Plan, the Plan, and any Award granted or awarded to any individual who is then subject to Section 16 of the Exchange Act, shall be subject to any additional limitations set forth in any applicable exemptive rule under Section 16 of the Exchange Act (including Rule 16b-3 of the Exchange Act and any amendments thereto) that are requirements for the application of such exemptive rule. To the extent permitted by Applicable Law, the Plan and Awards granted or awarded hereunder shall be deemed amended to the extent necessary to conform to such applicable exemptive rule.</w:t>
      </w:r>
    </w:p>
    <w:p>
      <w:pPr>
        <w:spacing w:after="0" w:line="89"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20"/>
          <w:szCs w:val="20"/>
          <w:color w:val="auto"/>
        </w:rPr>
        <w:t xml:space="preserve">4.4 </w:t>
      </w:r>
      <w:r>
        <w:rPr>
          <w:rFonts w:ascii="Times New Roman" w:cs="Times New Roman" w:eastAsia="Times New Roman" w:hAnsi="Times New Roman"/>
          <w:sz w:val="20"/>
          <w:szCs w:val="20"/>
          <w:u w:val="single" w:color="auto"/>
          <w:color w:val="auto"/>
        </w:rPr>
        <w:t>At-Will Employment; Voluntary Participation</w:t>
      </w:r>
      <w:r>
        <w:rPr>
          <w:rFonts w:ascii="Times New Roman" w:cs="Times New Roman" w:eastAsia="Times New Roman" w:hAnsi="Times New Roman"/>
          <w:sz w:val="20"/>
          <w:szCs w:val="20"/>
          <w:color w:val="auto"/>
        </w:rPr>
        <w:t>. Nothing in the Plan or in any Award Agreement shall confer upon any Holder any right to continue in the employ of, or as a Director or Consultant for, the Company or any Subsidiary, or shall interfere with or restrict in any way the rights of the Company and any Subsidiary, which rights are hereby expressly reserved, to discharge any Holder at any time for any reason whatsoever, with or without Misconduct, and with or without notice, or to terminate or change all other terms and conditions of employment or engagement, except to the extent expressly provided otherwise in a written agreement between the Holder and the Company or any Subsidiary. Participation by each Holder in the Plan shall be voluntary and nothing in the Plan shall be construed as mandating that any Eligible Individual shall participate in the Plan.</w:t>
      </w:r>
    </w:p>
    <w:p>
      <w:pPr>
        <w:spacing w:after="0" w:line="112" w:lineRule="exact"/>
        <w:rPr>
          <w:sz w:val="20"/>
          <w:szCs w:val="20"/>
          <w:color w:val="auto"/>
        </w:rPr>
      </w:pPr>
    </w:p>
    <w:p>
      <w:pPr>
        <w:ind w:right="100" w:firstLine="648"/>
        <w:spacing w:after="0" w:line="263" w:lineRule="auto"/>
        <w:rPr>
          <w:sz w:val="20"/>
          <w:szCs w:val="20"/>
          <w:color w:val="auto"/>
        </w:rPr>
      </w:pPr>
      <w:r>
        <w:rPr>
          <w:rFonts w:ascii="Times New Roman" w:cs="Times New Roman" w:eastAsia="Times New Roman" w:hAnsi="Times New Roman"/>
          <w:sz w:val="19"/>
          <w:szCs w:val="19"/>
          <w:color w:val="auto"/>
        </w:rPr>
        <w:t xml:space="preserve">4.5 </w:t>
      </w:r>
      <w:r>
        <w:rPr>
          <w:rFonts w:ascii="Times New Roman" w:cs="Times New Roman" w:eastAsia="Times New Roman" w:hAnsi="Times New Roman"/>
          <w:sz w:val="19"/>
          <w:szCs w:val="19"/>
          <w:u w:val="single" w:color="auto"/>
          <w:color w:val="auto"/>
        </w:rPr>
        <w:t>Foreign Holders</w:t>
      </w:r>
      <w:r>
        <w:rPr>
          <w:rFonts w:ascii="Times New Roman" w:cs="Times New Roman" w:eastAsia="Times New Roman" w:hAnsi="Times New Roman"/>
          <w:sz w:val="19"/>
          <w:szCs w:val="19"/>
          <w:color w:val="auto"/>
        </w:rPr>
        <w:t>. Notwithstanding any provision of the Plan to the contrary, in order to comply with the laws in countries other than the United States in which the Company and its Subsidiaries operate or have Employees, Non-Employee Directors or Consultants, or in order to comply with the requirements of any foreign securities exchange and Applicable Law, the Administrator, in its sole discretion, shall have the power and authority to: (a) determine which Subsidiaries shall be covered by the Plan; (b) determine which Eligible Individuals outside the United States are eligible to participate in the Plan; (c) modify the terms and conditions of any Award granted to Eligible Individuals outside the United States to comply with applicable foreign laws or listing requirements of any such foreign securities exchange;</w:t>
      </w:r>
    </w:p>
    <w:p>
      <w:pPr>
        <w:spacing w:after="0" w:line="3" w:lineRule="exact"/>
        <w:rPr>
          <w:sz w:val="20"/>
          <w:szCs w:val="20"/>
          <w:color w:val="auto"/>
        </w:rPr>
      </w:pPr>
    </w:p>
    <w:p>
      <w:pPr>
        <w:ind w:left="280" w:hanging="272"/>
        <w:spacing w:after="0"/>
        <w:tabs>
          <w:tab w:leader="none" w:pos="2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 subplans and modify exercise procedures and other terms and procedures, to the extent such actions may be necessary or</w:t>
      </w:r>
    </w:p>
    <w:p>
      <w:pPr>
        <w:spacing w:after="0" w:line="6" w:lineRule="exact"/>
        <w:rPr>
          <w:rFonts w:ascii="Times New Roman" w:cs="Times New Roman" w:eastAsia="Times New Roman" w:hAnsi="Times New Roman"/>
          <w:sz w:val="20"/>
          <w:szCs w:val="20"/>
          <w:color w:val="auto"/>
        </w:rPr>
      </w:pPr>
    </w:p>
    <w:p>
      <w:pPr>
        <w:ind w:right="20"/>
        <w:spacing w:after="0" w:line="25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advisable (any such subplans and/or modifications shall be attached to the Plan as appendices); provided, however, that no such subplans and/or modifications shall increase the share limitations contained in Sections 3.1 and 3.3; and (e) take any action, before or after an Award is made, that it deems advisable to obtain approval or comply with any</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981" w:right="339" w:bottom="1440" w:gutter="0" w:footer="0" w:header="0"/>
        </w:sectPr>
      </w:pPr>
    </w:p>
    <w:bookmarkStart w:id="16" w:name="page17"/>
    <w:bookmarkEnd w:id="16"/>
    <w:p>
      <w:pPr>
        <w:ind w:right="340"/>
        <w:spacing w:after="0" w:line="258" w:lineRule="auto"/>
        <w:rPr>
          <w:sz w:val="20"/>
          <w:szCs w:val="20"/>
          <w:color w:val="auto"/>
        </w:rPr>
      </w:pPr>
      <w:r>
        <w:rPr>
          <w:rFonts w:ascii="Times New Roman" w:cs="Times New Roman" w:eastAsia="Times New Roman" w:hAnsi="Times New Roman"/>
          <w:sz w:val="20"/>
          <w:szCs w:val="20"/>
          <w:color w:val="auto"/>
        </w:rPr>
        <w:t>necessary local governmental regulatory exemptions or approvals or listing requirements of any such foreign securities exchange. Notwithstanding the foregoing, the Administrator may not take any actions hereunder, and no Awards shall be granted, that would violate Applicable Law. For purposes of the Plan, all references to foreign laws, rules, regulations or taxes shall be references to the laws, rules, regulations and taxes of any applicable jurisdiction other than the United States or a political subdivision thereof.</w:t>
      </w:r>
    </w:p>
    <w:p>
      <w:pPr>
        <w:spacing w:after="0" w:line="105"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20"/>
          <w:szCs w:val="20"/>
          <w:color w:val="auto"/>
        </w:rPr>
        <w:t xml:space="preserve">4.6 </w:t>
      </w:r>
      <w:r>
        <w:rPr>
          <w:rFonts w:ascii="Times New Roman" w:cs="Times New Roman" w:eastAsia="Times New Roman" w:hAnsi="Times New Roman"/>
          <w:sz w:val="20"/>
          <w:szCs w:val="20"/>
          <w:u w:val="single" w:color="auto"/>
          <w:color w:val="auto"/>
        </w:rPr>
        <w:t>Non-Employee Director Awards</w:t>
      </w:r>
      <w:r>
        <w:rPr>
          <w:rFonts w:ascii="Times New Roman" w:cs="Times New Roman" w:eastAsia="Times New Roman" w:hAnsi="Times New Roman"/>
          <w:sz w:val="20"/>
          <w:szCs w:val="20"/>
          <w:color w:val="auto"/>
        </w:rPr>
        <w:t>. The Administrator may, in its discretion, provide that Awards granted to Non-Employee Directors shall be granted pursuant to a written formula established by the Administrator (the “</w:t>
      </w:r>
      <w:r>
        <w:rPr>
          <w:rFonts w:ascii="Times New Roman" w:cs="Times New Roman" w:eastAsia="Times New Roman" w:hAnsi="Times New Roman"/>
          <w:sz w:val="20"/>
          <w:szCs w:val="20"/>
          <w:b w:val="1"/>
          <w:bCs w:val="1"/>
          <w:i w:val="1"/>
          <w:iCs w:val="1"/>
          <w:color w:val="auto"/>
        </w:rPr>
        <w:t>Non-Employee Director Compensation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Policy</w:t>
      </w:r>
      <w:r>
        <w:rPr>
          <w:rFonts w:ascii="Times New Roman" w:cs="Times New Roman" w:eastAsia="Times New Roman" w:hAnsi="Times New Roman"/>
          <w:sz w:val="20"/>
          <w:szCs w:val="20"/>
          <w:color w:val="auto"/>
        </w:rPr>
        <w:t>”), subject to the limitations of the Plan. The Non-Employee Director Compensation Policy shall set forth the type of Award(s) to be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granted to Non-Employee Directors, the number of Shares to be subject to Non-Employee Director Awards, the conditions on which such Awards shall be granted, become exercisable and/or payable and expire, and such other terms and conditions as the Administrator shall determine in its discretion. The Non-Employee Director Compensation Policy may be modified by the Administrator from time to time in its discretion.</w:t>
      </w:r>
    </w:p>
    <w:p>
      <w:pPr>
        <w:spacing w:after="0" w:line="112" w:lineRule="exact"/>
        <w:rPr>
          <w:sz w:val="20"/>
          <w:szCs w:val="20"/>
          <w:color w:val="auto"/>
        </w:rPr>
      </w:pPr>
    </w:p>
    <w:p>
      <w:pPr>
        <w:ind w:right="460" w:firstLine="648"/>
        <w:spacing w:after="0" w:line="261" w:lineRule="auto"/>
        <w:rPr>
          <w:sz w:val="20"/>
          <w:szCs w:val="20"/>
          <w:color w:val="auto"/>
        </w:rPr>
      </w:pPr>
      <w:r>
        <w:rPr>
          <w:rFonts w:ascii="Times New Roman" w:cs="Times New Roman" w:eastAsia="Times New Roman" w:hAnsi="Times New Roman"/>
          <w:sz w:val="20"/>
          <w:szCs w:val="20"/>
          <w:color w:val="auto"/>
        </w:rPr>
        <w:t xml:space="preserve">4.7 </w:t>
      </w:r>
      <w:r>
        <w:rPr>
          <w:rFonts w:ascii="Times New Roman" w:cs="Times New Roman" w:eastAsia="Times New Roman" w:hAnsi="Times New Roman"/>
          <w:sz w:val="20"/>
          <w:szCs w:val="20"/>
          <w:u w:val="single" w:color="auto"/>
          <w:color w:val="auto"/>
        </w:rPr>
        <w:t>Stand-Alone and Tandem Awards</w:t>
      </w:r>
      <w:r>
        <w:rPr>
          <w:rFonts w:ascii="Times New Roman" w:cs="Times New Roman" w:eastAsia="Times New Roman" w:hAnsi="Times New Roman"/>
          <w:sz w:val="20"/>
          <w:szCs w:val="20"/>
          <w:color w:val="auto"/>
        </w:rPr>
        <w:t>. Awards granted pursuant to the Plan may, in the sole discretion of the Administrator, be granted either alone, in addition to, or in tandem with, any other Award granted pursuant to the Plan. Awards granted in addition to or in tandem with other Awards may be granted either at the same time as or at a different time from the grant of such other Awards.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5.</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OPTIONS</w:t>
      </w:r>
    </w:p>
    <w:p>
      <w:pPr>
        <w:spacing w:after="0" w:line="148" w:lineRule="exact"/>
        <w:rPr>
          <w:sz w:val="20"/>
          <w:szCs w:val="20"/>
          <w:color w:val="auto"/>
        </w:rPr>
      </w:pPr>
    </w:p>
    <w:p>
      <w:pPr>
        <w:ind w:right="40" w:firstLine="648"/>
        <w:spacing w:after="0" w:line="283" w:lineRule="auto"/>
        <w:rPr>
          <w:sz w:val="20"/>
          <w:szCs w:val="20"/>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0"/>
          <w:szCs w:val="20"/>
          <w:u w:val="single" w:color="auto"/>
          <w:color w:val="auto"/>
        </w:rPr>
        <w:t>Granting of Options to Eligible Individuals</w:t>
      </w:r>
      <w:r>
        <w:rPr>
          <w:rFonts w:ascii="Times New Roman" w:cs="Times New Roman" w:eastAsia="Times New Roman" w:hAnsi="Times New Roman"/>
          <w:sz w:val="20"/>
          <w:szCs w:val="20"/>
          <w:color w:val="auto"/>
        </w:rPr>
        <w:t>. The Administrator is authorized to grant Options to Eligible Individuals from time to time, in its sole discretion, on such terms and conditions as it may determine which shall not be inconsistent with the Plan.</w:t>
      </w:r>
    </w:p>
    <w:p>
      <w:pPr>
        <w:spacing w:after="0" w:line="79" w:lineRule="exact"/>
        <w:rPr>
          <w:sz w:val="20"/>
          <w:szCs w:val="20"/>
          <w:color w:val="auto"/>
        </w:rPr>
      </w:pPr>
    </w:p>
    <w:p>
      <w:pPr>
        <w:ind w:right="100" w:firstLine="648"/>
        <w:spacing w:after="0" w:line="257" w:lineRule="auto"/>
        <w:rPr>
          <w:sz w:val="20"/>
          <w:szCs w:val="20"/>
          <w:color w:val="auto"/>
        </w:rPr>
      </w:pPr>
      <w:r>
        <w:rPr>
          <w:rFonts w:ascii="Times New Roman" w:cs="Times New Roman" w:eastAsia="Times New Roman" w:hAnsi="Times New Roman"/>
          <w:sz w:val="20"/>
          <w:szCs w:val="20"/>
          <w:color w:val="auto"/>
        </w:rPr>
        <w:t xml:space="preserve">5.2 </w:t>
      </w:r>
      <w:r>
        <w:rPr>
          <w:rFonts w:ascii="Times New Roman" w:cs="Times New Roman" w:eastAsia="Times New Roman" w:hAnsi="Times New Roman"/>
          <w:sz w:val="20"/>
          <w:szCs w:val="20"/>
          <w:u w:val="single" w:color="auto"/>
          <w:color w:val="auto"/>
        </w:rPr>
        <w:t>Option Exercise Price</w:t>
      </w:r>
      <w:r>
        <w:rPr>
          <w:rFonts w:ascii="Times New Roman" w:cs="Times New Roman" w:eastAsia="Times New Roman" w:hAnsi="Times New Roman"/>
          <w:sz w:val="20"/>
          <w:szCs w:val="20"/>
          <w:color w:val="auto"/>
        </w:rPr>
        <w:t>. The exercise price per Share subject to each Option shall be set by the Administrator, but shall not be less than 100% of the Fair Market Value of a Share on the date the Option is granted (or, as to Incentive Stock Options, on the date the Option is modified, extended or renewed for purposes of Section 424(h) of the Code). In addition, in the case of Incentive Stock Options granted to a Greater Than 10% Stockholder, such price shall not be less than 110% of the Fair Market Value of a Share on the date the Option is granted (or the date the Option is modified, extended or renewed for purposes of Section 424(h) of the Code).</w:t>
      </w:r>
    </w:p>
    <w:p>
      <w:pPr>
        <w:spacing w:after="0" w:line="1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5.3 </w:t>
      </w:r>
      <w:r>
        <w:rPr>
          <w:rFonts w:ascii="Times New Roman" w:cs="Times New Roman" w:eastAsia="Times New Roman" w:hAnsi="Times New Roman"/>
          <w:sz w:val="20"/>
          <w:szCs w:val="20"/>
          <w:u w:val="single" w:color="auto"/>
          <w:color w:val="auto"/>
        </w:rPr>
        <w:t>Option Vesting</w:t>
      </w:r>
      <w:r>
        <w:rPr>
          <w:rFonts w:ascii="Times New Roman" w:cs="Times New Roman" w:eastAsia="Times New Roman" w:hAnsi="Times New Roman"/>
          <w:sz w:val="20"/>
          <w:szCs w:val="20"/>
          <w:color w:val="auto"/>
        </w:rPr>
        <w:t>.</w:t>
      </w:r>
    </w:p>
    <w:p>
      <w:pPr>
        <w:spacing w:after="0" w:line="148" w:lineRule="exact"/>
        <w:rPr>
          <w:sz w:val="20"/>
          <w:szCs w:val="20"/>
          <w:color w:val="auto"/>
        </w:rPr>
      </w:pPr>
    </w:p>
    <w:p>
      <w:pPr>
        <w:jc w:val="both"/>
        <w:ind w:firstLine="1278"/>
        <w:spacing w:after="0" w:line="253" w:lineRule="auto"/>
        <w:tabs>
          <w:tab w:leader="none" w:pos="1935"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period during which the right to exercise, in whole or in part, an Option vests in the Holder shall be set by the Administrator and the Administrator may determine that an Option may not be exercised in whole or in part for a specified period after it is granted. Such vesting may be based on service with the Company or any Subsidiary, any of the Performance Criteria, or any other criteria selected by the Administrator. At any time after grant of an Option, the Administrator may, in its sole discretion, and subject to whatever terms and conditions it selects, accelerate the period during which an Option vests.</w:t>
      </w:r>
    </w:p>
    <w:p>
      <w:pPr>
        <w:spacing w:after="0" w:line="124" w:lineRule="exact"/>
        <w:rPr>
          <w:rFonts w:ascii="Times New Roman" w:cs="Times New Roman" w:eastAsia="Times New Roman" w:hAnsi="Times New Roman"/>
          <w:sz w:val="20"/>
          <w:szCs w:val="20"/>
          <w:color w:val="auto"/>
        </w:rPr>
      </w:pPr>
    </w:p>
    <w:p>
      <w:pPr>
        <w:jc w:val="both"/>
        <w:ind w:firstLine="1278"/>
        <w:spacing w:after="0" w:line="261" w:lineRule="auto"/>
        <w:tabs>
          <w:tab w:leader="none" w:pos="1933"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portion of an Option which is unexercisable at a Holder’s Termination of Service shall thereafter become exercisable, except as may be otherwise provided by the Administrator either in the Award Agreement or by action of the Administrator following the grant of the Option.</w:t>
      </w:r>
    </w:p>
    <w:p>
      <w:pPr>
        <w:spacing w:after="0" w:line="100" w:lineRule="exact"/>
        <w:rPr>
          <w:sz w:val="20"/>
          <w:szCs w:val="20"/>
          <w:color w:val="auto"/>
        </w:rPr>
      </w:pPr>
    </w:p>
    <w:p>
      <w:pPr>
        <w:ind w:right="60" w:firstLine="648"/>
        <w:spacing w:after="0" w:line="310" w:lineRule="auto"/>
        <w:rPr>
          <w:sz w:val="20"/>
          <w:szCs w:val="20"/>
          <w:color w:val="auto"/>
        </w:rPr>
      </w:pPr>
      <w:r>
        <w:rPr>
          <w:rFonts w:ascii="Times New Roman" w:cs="Times New Roman" w:eastAsia="Times New Roman" w:hAnsi="Times New Roman"/>
          <w:sz w:val="19"/>
          <w:szCs w:val="19"/>
          <w:color w:val="auto"/>
        </w:rPr>
        <w:t xml:space="preserve">5.4 </w:t>
      </w:r>
      <w:r>
        <w:rPr>
          <w:rFonts w:ascii="Times New Roman" w:cs="Times New Roman" w:eastAsia="Times New Roman" w:hAnsi="Times New Roman"/>
          <w:sz w:val="19"/>
          <w:szCs w:val="19"/>
          <w:u w:val="single" w:color="auto"/>
          <w:color w:val="auto"/>
        </w:rPr>
        <w:t>Manner of Exercise</w:t>
      </w:r>
      <w:r>
        <w:rPr>
          <w:rFonts w:ascii="Times New Roman" w:cs="Times New Roman" w:eastAsia="Times New Roman" w:hAnsi="Times New Roman"/>
          <w:sz w:val="19"/>
          <w:szCs w:val="19"/>
          <w:color w:val="auto"/>
        </w:rPr>
        <w:t>. All or a portion of an exercisable Option shall be deemed exercised upon delivery of all of the following to the stock administrator of the Company, or such other person or entity designated by the Administrator, or his, her or its office, as applicable:</w:t>
      </w:r>
    </w:p>
    <w:p>
      <w:pPr>
        <w:spacing w:after="0" w:line="57" w:lineRule="exact"/>
        <w:rPr>
          <w:sz w:val="20"/>
          <w:szCs w:val="20"/>
          <w:color w:val="auto"/>
        </w:rPr>
      </w:pPr>
    </w:p>
    <w:p>
      <w:pPr>
        <w:jc w:val="both"/>
        <w:ind w:firstLine="1278"/>
        <w:spacing w:after="0" w:line="261" w:lineRule="auto"/>
        <w:tabs>
          <w:tab w:leader="none" w:pos="1935"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written or electronic notice complying with the applicable rules established by the Administrator stating that the Option, or a portion thereof, is exercised. The notice shall be signed by the Holder or other person then entitled to exercise the Option or such portion of the Option;</w:t>
      </w:r>
    </w:p>
    <w:p>
      <w:pPr>
        <w:spacing w:after="0" w:line="100" w:lineRule="exact"/>
        <w:rPr>
          <w:rFonts w:ascii="Times New Roman" w:cs="Times New Roman" w:eastAsia="Times New Roman" w:hAnsi="Times New Roman"/>
          <w:sz w:val="20"/>
          <w:szCs w:val="20"/>
          <w:color w:val="auto"/>
        </w:rPr>
      </w:pPr>
    </w:p>
    <w:p>
      <w:pPr>
        <w:ind w:firstLine="1278"/>
        <w:spacing w:after="0" w:line="283" w:lineRule="auto"/>
        <w:tabs>
          <w:tab w:leader="none" w:pos="1933"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representations and documents as the Administrator, in its sole discretion, deems necessary or advisable to effect compliance with Applicable Law. The Administrator may, in its sole discretion, also take whatever</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981" w:right="339" w:bottom="1440" w:gutter="0" w:footer="0" w:header="0"/>
        </w:sectPr>
      </w:pPr>
    </w:p>
    <w:bookmarkStart w:id="17" w:name="page18"/>
    <w:bookmarkEnd w:id="17"/>
    <w:p>
      <w:pPr>
        <w:ind w:right="20"/>
        <w:spacing w:after="0" w:line="283" w:lineRule="auto"/>
        <w:rPr>
          <w:sz w:val="20"/>
          <w:szCs w:val="20"/>
          <w:color w:val="auto"/>
        </w:rPr>
      </w:pPr>
      <w:r>
        <w:rPr>
          <w:rFonts w:ascii="Times New Roman" w:cs="Times New Roman" w:eastAsia="Times New Roman" w:hAnsi="Times New Roman"/>
          <w:sz w:val="20"/>
          <w:szCs w:val="20"/>
          <w:color w:val="auto"/>
        </w:rPr>
        <w:t>additional actions it deems appropriate to effect such compliance including, without limitation, placing legends on share certificates and issuing stop-transfer notices to agents and registrars;</w:t>
      </w:r>
    </w:p>
    <w:p>
      <w:pPr>
        <w:spacing w:after="0" w:line="79" w:lineRule="exact"/>
        <w:rPr>
          <w:sz w:val="20"/>
          <w:szCs w:val="20"/>
          <w:color w:val="auto"/>
        </w:rPr>
      </w:pPr>
    </w:p>
    <w:p>
      <w:pPr>
        <w:ind w:firstLine="1278"/>
        <w:spacing w:after="0" w:line="269" w:lineRule="auto"/>
        <w:tabs>
          <w:tab w:leader="none" w:pos="1935"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Option shall be exercised by any person or persons other than the Holder, appropriate proof of the right of such person or persons to exercise the Option, as determined in the sole discretion of the Administrator; and</w:t>
      </w:r>
    </w:p>
    <w:p>
      <w:pPr>
        <w:spacing w:after="0" w:line="105" w:lineRule="exact"/>
        <w:rPr>
          <w:rFonts w:ascii="Times New Roman" w:cs="Times New Roman" w:eastAsia="Times New Roman" w:hAnsi="Times New Roman"/>
          <w:sz w:val="20"/>
          <w:szCs w:val="20"/>
          <w:color w:val="auto"/>
        </w:rPr>
      </w:pPr>
    </w:p>
    <w:p>
      <w:pPr>
        <w:ind w:firstLine="1278"/>
        <w:spacing w:after="0" w:line="269" w:lineRule="auto"/>
        <w:tabs>
          <w:tab w:leader="none" w:pos="1933"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Full payment of the exercise price and applicable withholding taxes to the stock administrator of the Company for the Shares with respect to which the Option, or portion thereof, is exercised, in a manner permitted by Section 10.1 and 10.2.</w:t>
      </w:r>
    </w:p>
    <w:p>
      <w:pPr>
        <w:spacing w:after="0" w:line="105"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20"/>
          <w:szCs w:val="20"/>
          <w:color w:val="auto"/>
        </w:rPr>
        <w:t xml:space="preserve">5.5 </w:t>
      </w:r>
      <w:r>
        <w:rPr>
          <w:rFonts w:ascii="Times New Roman" w:cs="Times New Roman" w:eastAsia="Times New Roman" w:hAnsi="Times New Roman"/>
          <w:sz w:val="20"/>
          <w:szCs w:val="20"/>
          <w:u w:val="single" w:color="auto"/>
          <w:color w:val="auto"/>
        </w:rPr>
        <w:t>Partial Exercise</w:t>
      </w:r>
      <w:r>
        <w:rPr>
          <w:rFonts w:ascii="Times New Roman" w:cs="Times New Roman" w:eastAsia="Times New Roman" w:hAnsi="Times New Roman"/>
          <w:sz w:val="20"/>
          <w:szCs w:val="20"/>
          <w:color w:val="auto"/>
        </w:rPr>
        <w:t>. An exercisable Option may be exercised in whole or in part. However, an Option shall not be exercisable with respect to fractional Shares unless determined otherwise by the Administrator, and the Administrator may require that, by the terms of the Option, a partial exercise must be with respect to a minimum number of Shares.</w:t>
      </w:r>
    </w:p>
    <w:p>
      <w:pPr>
        <w:spacing w:after="0" w:line="96" w:lineRule="exact"/>
        <w:rPr>
          <w:sz w:val="20"/>
          <w:szCs w:val="20"/>
          <w:color w:val="auto"/>
        </w:rPr>
      </w:pPr>
    </w:p>
    <w:p>
      <w:pPr>
        <w:ind w:right="120" w:firstLine="648"/>
        <w:spacing w:after="0" w:line="252" w:lineRule="auto"/>
        <w:rPr>
          <w:sz w:val="20"/>
          <w:szCs w:val="20"/>
          <w:color w:val="auto"/>
        </w:rPr>
      </w:pPr>
      <w:r>
        <w:rPr>
          <w:rFonts w:ascii="Times New Roman" w:cs="Times New Roman" w:eastAsia="Times New Roman" w:hAnsi="Times New Roman"/>
          <w:sz w:val="20"/>
          <w:szCs w:val="20"/>
          <w:color w:val="auto"/>
        </w:rPr>
        <w:t xml:space="preserve">5.6 </w:t>
      </w:r>
      <w:r>
        <w:rPr>
          <w:rFonts w:ascii="Times New Roman" w:cs="Times New Roman" w:eastAsia="Times New Roman" w:hAnsi="Times New Roman"/>
          <w:sz w:val="20"/>
          <w:szCs w:val="20"/>
          <w:u w:val="single" w:color="auto"/>
          <w:color w:val="auto"/>
        </w:rPr>
        <w:t>Option Term</w:t>
      </w:r>
      <w:r>
        <w:rPr>
          <w:rFonts w:ascii="Times New Roman" w:cs="Times New Roman" w:eastAsia="Times New Roman" w:hAnsi="Times New Roman"/>
          <w:sz w:val="20"/>
          <w:szCs w:val="20"/>
          <w:color w:val="auto"/>
        </w:rPr>
        <w:t>. The term of each Option (the “</w:t>
      </w:r>
      <w:r>
        <w:rPr>
          <w:rFonts w:ascii="Times New Roman" w:cs="Times New Roman" w:eastAsia="Times New Roman" w:hAnsi="Times New Roman"/>
          <w:sz w:val="20"/>
          <w:szCs w:val="20"/>
          <w:b w:val="1"/>
          <w:bCs w:val="1"/>
          <w:i w:val="1"/>
          <w:iCs w:val="1"/>
          <w:color w:val="auto"/>
        </w:rPr>
        <w:t>Option Term</w:t>
      </w:r>
      <w:r>
        <w:rPr>
          <w:rFonts w:ascii="Times New Roman" w:cs="Times New Roman" w:eastAsia="Times New Roman" w:hAnsi="Times New Roman"/>
          <w:sz w:val="20"/>
          <w:szCs w:val="20"/>
          <w:color w:val="auto"/>
        </w:rPr>
        <w:t xml:space="preserve">”) shall be set by the Administrator in its sole discretion;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Option Term shall not be more than ten (10) years from the date the Option is granted, or five (5) years from the date an Incentive Stock Option is granted to a Greater Than 10% Stockholder. The Administrator shall determine the time period, including the time period following a Termination of Service, during which the Holder has the right to exercise the vested Options, which time period may not extend beyond the last day of the Option Term. Except as limited by the requirements of Section 409A or Section 422 of the Code and regulations and rulings thereunder, the Administrator may extend the Option Term of any outstanding Option, and may extend the time period during which vested Options may be exercised, in connection with any Termination of Service of the Holder, and may amend any other term or condition of such Option relating to such a Termination of Service.</w:t>
      </w:r>
    </w:p>
    <w:p>
      <w:pPr>
        <w:spacing w:after="0" w:line="111" w:lineRule="exact"/>
        <w:rPr>
          <w:sz w:val="20"/>
          <w:szCs w:val="20"/>
          <w:color w:val="auto"/>
        </w:rPr>
      </w:pPr>
    </w:p>
    <w:p>
      <w:pPr>
        <w:ind w:right="100" w:firstLine="648"/>
        <w:spacing w:after="0" w:line="265" w:lineRule="auto"/>
        <w:rPr>
          <w:sz w:val="20"/>
          <w:szCs w:val="20"/>
          <w:color w:val="auto"/>
        </w:rPr>
      </w:pPr>
      <w:r>
        <w:rPr>
          <w:rFonts w:ascii="Times New Roman" w:cs="Times New Roman" w:eastAsia="Times New Roman" w:hAnsi="Times New Roman"/>
          <w:sz w:val="19"/>
          <w:szCs w:val="19"/>
          <w:color w:val="auto"/>
        </w:rPr>
        <w:t xml:space="preserve">5.7 </w:t>
      </w:r>
      <w:r>
        <w:rPr>
          <w:rFonts w:ascii="Times New Roman" w:cs="Times New Roman" w:eastAsia="Times New Roman" w:hAnsi="Times New Roman"/>
          <w:sz w:val="19"/>
          <w:szCs w:val="19"/>
          <w:u w:val="single" w:color="auto"/>
          <w:color w:val="auto"/>
        </w:rPr>
        <w:t>Qualification of Incentive Stock Options</w:t>
      </w:r>
      <w:r>
        <w:rPr>
          <w:rFonts w:ascii="Times New Roman" w:cs="Times New Roman" w:eastAsia="Times New Roman" w:hAnsi="Times New Roman"/>
          <w:sz w:val="19"/>
          <w:szCs w:val="19"/>
          <w:color w:val="auto"/>
        </w:rPr>
        <w:t>. No Incentive Stock Option shall be granted to any person who is not an Employee of the Company or any subsidiary corporation (as defined in Section 424(f) of the Code) of the Company. No person who qualifies as a Greater Than 10% Stockholder may be granted an Incentive Stock Option unless such Incentive Stock Option conforms to the applicable provisions of Section 422 of the Code. Any Incentive Stock Option granted under the Plan may be modified by the Administrator, with the consent of the Holder, to disqualify such Option from treatment as an “incentive stock option” under Section 422 of the Code. To the extent that the aggregate Fair Market Value of stock with respect to which “incentive stock options” (within the meaning of Section 422 of the Code, but without regard to Section 422(d) of the Code) are exercisable for the first time by a Holder during any calendar year under the Plan, and all other plans of the Company and any subsidiary or parent corporation thereof (each as defined in Section 424(f) and (e) of the Code, respectively), exceeds $100,000, the Options shall be treated as Non-Qualified Stock Options to the extent required by Section 422 of the Code. The rule set forth in the preceding sentence shall be applied by taking Options and other “incentive stock options” into account in the order in which they were granted and the Fair Market Value of stock shall be determined as of the time the respective Options were granted.</w:t>
      </w:r>
    </w:p>
    <w:p>
      <w:pPr>
        <w:spacing w:after="0" w:line="114"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20"/>
          <w:szCs w:val="20"/>
          <w:color w:val="auto"/>
        </w:rPr>
        <w:t xml:space="preserve">5.8 </w:t>
      </w:r>
      <w:r>
        <w:rPr>
          <w:rFonts w:ascii="Times New Roman" w:cs="Times New Roman" w:eastAsia="Times New Roman" w:hAnsi="Times New Roman"/>
          <w:sz w:val="20"/>
          <w:szCs w:val="20"/>
          <w:u w:val="single" w:color="auto"/>
          <w:color w:val="auto"/>
        </w:rPr>
        <w:t>Notification Regarding Disposition</w:t>
      </w:r>
      <w:r>
        <w:rPr>
          <w:rFonts w:ascii="Times New Roman" w:cs="Times New Roman" w:eastAsia="Times New Roman" w:hAnsi="Times New Roman"/>
          <w:sz w:val="20"/>
          <w:szCs w:val="20"/>
          <w:color w:val="auto"/>
        </w:rPr>
        <w:t>. The Holder shall give the Company prompt written or electronic notice of any disposition of Shares acquired by exercise of an Incentive Stock Option which occurs within (a) two years from the date of granting (including the date the Option is modified, extended or renewed for purposes of Section 424(h) of the Code) such Option to such Holder, or (b) one year after the transfer of such Shares to such Holder.</w:t>
      </w:r>
    </w:p>
    <w:p>
      <w:pPr>
        <w:spacing w:after="0" w:line="120" w:lineRule="exact"/>
        <w:rPr>
          <w:sz w:val="20"/>
          <w:szCs w:val="20"/>
          <w:color w:val="auto"/>
        </w:rPr>
      </w:pPr>
    </w:p>
    <w:p>
      <w:pPr>
        <w:ind w:right="60" w:firstLine="648"/>
        <w:spacing w:after="0" w:line="251" w:lineRule="auto"/>
        <w:rPr>
          <w:sz w:val="20"/>
          <w:szCs w:val="20"/>
          <w:color w:val="auto"/>
        </w:rPr>
      </w:pPr>
      <w:r>
        <w:rPr>
          <w:rFonts w:ascii="Times New Roman" w:cs="Times New Roman" w:eastAsia="Times New Roman" w:hAnsi="Times New Roman"/>
          <w:sz w:val="20"/>
          <w:szCs w:val="20"/>
          <w:color w:val="auto"/>
        </w:rPr>
        <w:t xml:space="preserve">5.9 </w:t>
      </w:r>
      <w:r>
        <w:rPr>
          <w:rFonts w:ascii="Times New Roman" w:cs="Times New Roman" w:eastAsia="Times New Roman" w:hAnsi="Times New Roman"/>
          <w:sz w:val="20"/>
          <w:szCs w:val="20"/>
          <w:u w:val="single" w:color="auto"/>
          <w:color w:val="auto"/>
        </w:rPr>
        <w:t>Substitute Awards</w:t>
      </w:r>
      <w:r>
        <w:rPr>
          <w:rFonts w:ascii="Times New Roman" w:cs="Times New Roman" w:eastAsia="Times New Roman" w:hAnsi="Times New Roman"/>
          <w:sz w:val="20"/>
          <w:szCs w:val="20"/>
          <w:color w:val="auto"/>
        </w:rPr>
        <w:t xml:space="preserve">. Notwithstanding the foregoing provisions of this Article 5 to the contrary, in the case of an Option that is a Substitute Award, the price per share of the Shares subject to such Option may be less than the Fair Market Value per share on the date of grant;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excess of: (a) the aggregate Fair Market Value (as of the date such Substitute Award is granted) of the Shares subject to the Substitute Award, over (b) the aggregate exercise price thereof does not exceed the excess of: (x) the aggregate fair market value (as of the time immediately preceding the transaction giving rise to the Substitute Award, such fair market value to be determined by the Administrator) of the shares of the predecessor entity that were subject to the grant assumed or substituted for by the Company, over (y) the aggregate exercise price of such shares.</w:t>
      </w:r>
    </w:p>
    <w:p>
      <w:pPr>
        <w:spacing w:after="0" w:line="112"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20"/>
          <w:szCs w:val="20"/>
          <w:color w:val="auto"/>
        </w:rPr>
        <w:t xml:space="preserve">5.10 </w:t>
      </w:r>
      <w:r>
        <w:rPr>
          <w:rFonts w:ascii="Times New Roman" w:cs="Times New Roman" w:eastAsia="Times New Roman" w:hAnsi="Times New Roman"/>
          <w:sz w:val="20"/>
          <w:szCs w:val="20"/>
          <w:u w:val="single" w:color="auto"/>
          <w:color w:val="auto"/>
        </w:rPr>
        <w:t>Modification, Extension or Renewal</w:t>
      </w:r>
      <w:r>
        <w:rPr>
          <w:rFonts w:ascii="Times New Roman" w:cs="Times New Roman" w:eastAsia="Times New Roman" w:hAnsi="Times New Roman"/>
          <w:sz w:val="20"/>
          <w:szCs w:val="20"/>
          <w:color w:val="auto"/>
        </w:rPr>
        <w:t>. The Committee may modify, extend or renew outstanding Options and authorize the grant of new Options in substitution therefor, provided that any such action may not, without the written consent of a Participant, impair any of such Participant’s rights under any Option previously granted. Any outstanding Incentive Stock Option that is modified, extended, renewed or otherwise altered will be treated in accordance with Section</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981" w:right="339" w:bottom="1440" w:gutter="0" w:footer="0" w:header="0"/>
        </w:sectPr>
      </w:pPr>
    </w:p>
    <w:bookmarkStart w:id="18" w:name="page19"/>
    <w:bookmarkEnd w:id="18"/>
    <w:p>
      <w:pPr>
        <w:ind w:right="20"/>
        <w:spacing w:after="0" w:line="261" w:lineRule="auto"/>
        <w:rPr>
          <w:sz w:val="20"/>
          <w:szCs w:val="20"/>
          <w:color w:val="auto"/>
        </w:rPr>
      </w:pPr>
      <w:r>
        <w:rPr>
          <w:rFonts w:ascii="Times New Roman" w:cs="Times New Roman" w:eastAsia="Times New Roman" w:hAnsi="Times New Roman"/>
          <w:sz w:val="20"/>
          <w:szCs w:val="20"/>
          <w:color w:val="auto"/>
        </w:rPr>
        <w:t xml:space="preserve">424(h) of the Code. By written notice to affected Holders, the Committee may reduce the Exercise Price of outstanding Options without the consent of such Holders;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Exercise Price may not be reduced below the Fair Market Value on the date the action is taken to reduce the Exercise Price.</w:t>
      </w:r>
    </w:p>
    <w:p>
      <w:pPr>
        <w:spacing w:after="0" w:line="100" w:lineRule="exact"/>
        <w:rPr>
          <w:sz w:val="20"/>
          <w:szCs w:val="20"/>
          <w:color w:val="auto"/>
        </w:rPr>
      </w:pPr>
    </w:p>
    <w:p>
      <w:pPr>
        <w:jc w:val="both"/>
        <w:ind w:right="120" w:firstLine="648"/>
        <w:spacing w:after="0" w:line="258" w:lineRule="auto"/>
        <w:rPr>
          <w:sz w:val="20"/>
          <w:szCs w:val="20"/>
          <w:color w:val="auto"/>
        </w:rPr>
      </w:pPr>
      <w:r>
        <w:rPr>
          <w:rFonts w:ascii="Times New Roman" w:cs="Times New Roman" w:eastAsia="Times New Roman" w:hAnsi="Times New Roman"/>
          <w:sz w:val="20"/>
          <w:szCs w:val="20"/>
          <w:color w:val="auto"/>
        </w:rPr>
        <w:t xml:space="preserve">5.11 </w:t>
      </w:r>
      <w:r>
        <w:rPr>
          <w:rFonts w:ascii="Times New Roman" w:cs="Times New Roman" w:eastAsia="Times New Roman" w:hAnsi="Times New Roman"/>
          <w:sz w:val="20"/>
          <w:szCs w:val="20"/>
          <w:u w:val="single" w:color="auto"/>
          <w:color w:val="auto"/>
        </w:rPr>
        <w:t>No Disqualification</w:t>
      </w:r>
      <w:r>
        <w:rPr>
          <w:rFonts w:ascii="Times New Roman" w:cs="Times New Roman" w:eastAsia="Times New Roman" w:hAnsi="Times New Roman"/>
          <w:sz w:val="20"/>
          <w:szCs w:val="20"/>
          <w:color w:val="auto"/>
        </w:rPr>
        <w:t>. Notwithstanding any other provision in this Plan, no term of this Plan relating to Incentive Stock Options will be interpreted, amended or altered, nor will any discretion or authority granted under this Plan be exercised, so as to disqualify this Plan under Section 422 of the Code or, without the consent of the Holder affected, to disqualify any Incentive Stock Option under Section 422 of the Code.</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6.</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RESTRICTED STOCK</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6.1 </w:t>
      </w:r>
      <w:r>
        <w:rPr>
          <w:rFonts w:ascii="Times New Roman" w:cs="Times New Roman" w:eastAsia="Times New Roman" w:hAnsi="Times New Roman"/>
          <w:sz w:val="20"/>
          <w:szCs w:val="20"/>
          <w:u w:val="single" w:color="auto"/>
          <w:color w:val="auto"/>
        </w:rPr>
        <w:t>Award of Restricted Stock</w:t>
      </w:r>
      <w:r>
        <w:rPr>
          <w:rFonts w:ascii="Times New Roman" w:cs="Times New Roman" w:eastAsia="Times New Roman" w:hAnsi="Times New Roman"/>
          <w:sz w:val="20"/>
          <w:szCs w:val="20"/>
          <w:color w:val="auto"/>
        </w:rPr>
        <w:t>.</w:t>
      </w:r>
    </w:p>
    <w:p>
      <w:pPr>
        <w:spacing w:after="0" w:line="148" w:lineRule="exact"/>
        <w:rPr>
          <w:sz w:val="20"/>
          <w:szCs w:val="20"/>
          <w:color w:val="auto"/>
        </w:rPr>
      </w:pPr>
    </w:p>
    <w:p>
      <w:pPr>
        <w:jc w:val="both"/>
        <w:ind w:firstLine="1278"/>
        <w:spacing w:after="0" w:line="261" w:lineRule="auto"/>
        <w:tabs>
          <w:tab w:leader="none" w:pos="1935"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Administrator is authorized to grant Restricted Stock to Eligible Individuals, and shall determine the terms and conditions, including the restrictions applicable to each award of Restricted Stock, which terms and conditions shall not be inconsistent with the Plan, and may impose such conditions on the issuance of such Restricted Stock as it deems appropriate.</w:t>
      </w:r>
    </w:p>
    <w:p>
      <w:pPr>
        <w:spacing w:after="0" w:line="100" w:lineRule="exact"/>
        <w:rPr>
          <w:rFonts w:ascii="Times New Roman" w:cs="Times New Roman" w:eastAsia="Times New Roman" w:hAnsi="Times New Roman"/>
          <w:sz w:val="20"/>
          <w:szCs w:val="20"/>
          <w:color w:val="auto"/>
        </w:rPr>
      </w:pPr>
    </w:p>
    <w:p>
      <w:pPr>
        <w:jc w:val="both"/>
        <w:ind w:firstLine="1278"/>
        <w:spacing w:after="0" w:line="258" w:lineRule="auto"/>
        <w:tabs>
          <w:tab w:leader="none" w:pos="1933"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Administrator shall establish the purchase price, if any, and form of payment for Restricted Stock;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a purchase price is charged, such purchase price shall be no less than the par value, if any, of the Shares to be purchased, unless otherwise permitted by Applicable Law. The purchase price per Share may, however, be less than the Fair Market Value. In all cases, legal consideration shall be required for each issuance of Restricted Stock.</w:t>
      </w:r>
    </w:p>
    <w:p>
      <w:pPr>
        <w:spacing w:after="0" w:line="105" w:lineRule="exact"/>
        <w:rPr>
          <w:sz w:val="20"/>
          <w:szCs w:val="20"/>
          <w:color w:val="auto"/>
        </w:rPr>
      </w:pPr>
    </w:p>
    <w:p>
      <w:pPr>
        <w:ind w:right="140" w:firstLine="674"/>
        <w:spacing w:after="0" w:line="257" w:lineRule="auto"/>
        <w:rPr>
          <w:sz w:val="20"/>
          <w:szCs w:val="20"/>
          <w:color w:val="auto"/>
        </w:rPr>
      </w:pPr>
      <w:r>
        <w:rPr>
          <w:rFonts w:ascii="Times New Roman" w:cs="Times New Roman" w:eastAsia="Times New Roman" w:hAnsi="Times New Roman"/>
          <w:sz w:val="20"/>
          <w:szCs w:val="20"/>
          <w:color w:val="auto"/>
        </w:rPr>
        <w:t xml:space="preserve">6.2 </w:t>
      </w:r>
      <w:r>
        <w:rPr>
          <w:rFonts w:ascii="Times New Roman" w:cs="Times New Roman" w:eastAsia="Times New Roman" w:hAnsi="Times New Roman"/>
          <w:sz w:val="20"/>
          <w:szCs w:val="20"/>
          <w:u w:val="single" w:color="auto"/>
          <w:color w:val="auto"/>
        </w:rPr>
        <w:t>Rights as Stockholders</w:t>
      </w:r>
      <w:r>
        <w:rPr>
          <w:rFonts w:ascii="Times New Roman" w:cs="Times New Roman" w:eastAsia="Times New Roman" w:hAnsi="Times New Roman"/>
          <w:sz w:val="20"/>
          <w:szCs w:val="20"/>
          <w:color w:val="auto"/>
        </w:rPr>
        <w:t xml:space="preserve">. Subject to Section 6.4, upon issuance of Restricted Stock, the Holder shall have, unless otherwise provided by the Administrator, all the rights of a stockholder with respect to said Shares, subject to the restrictions in each individual Award Agreement, including the right to receive all dividends and other distributions paid or made with respect to the Shares;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the sole discretion of the Administrator, any extraordinary distributions with respect to the Shares shall be subject to the restrictions set forth in Section 6.3.</w:t>
      </w:r>
    </w:p>
    <w:p>
      <w:pPr>
        <w:spacing w:after="0" w:line="105"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9"/>
          <w:szCs w:val="19"/>
          <w:color w:val="auto"/>
        </w:rPr>
        <w:t xml:space="preserve">6.3 </w:t>
      </w:r>
      <w:r>
        <w:rPr>
          <w:rFonts w:ascii="Times New Roman" w:cs="Times New Roman" w:eastAsia="Times New Roman" w:hAnsi="Times New Roman"/>
          <w:sz w:val="19"/>
          <w:szCs w:val="19"/>
          <w:u w:val="single" w:color="auto"/>
          <w:color w:val="auto"/>
        </w:rPr>
        <w:t>Restrictions</w:t>
      </w:r>
      <w:r>
        <w:rPr>
          <w:rFonts w:ascii="Times New Roman" w:cs="Times New Roman" w:eastAsia="Times New Roman" w:hAnsi="Times New Roman"/>
          <w:sz w:val="19"/>
          <w:szCs w:val="19"/>
          <w:color w:val="auto"/>
        </w:rPr>
        <w:t>. All shares of Restricted Stock (including any shares received by Holders thereof with respect to shares of Restricted Stock as a result of stock dividends, stock splits or any other form of recapitalization) shall, in the terms of each individual Award Agreement, be subject to such restrictions, including without limitation risks of forfeiture, and vesting requirements as the Administrator shall provide. Such restrictions may include, without limitation, restrictions concerning voting rights and transferability and such restrictions may lapse separately or in combination at such times and pursuant to such circumstances or based on such criteria as selected by the Administrator, including, without limitation, criteria based on the Holder’s duration of employment, directorship or consultancy with the Company, the Performance Criteria, Company performance, individual performance or other criteria selected by the Administrator. By action taken after the Restricted Stock is issued, the Administrator may, on such terms and conditions as it may determine to be appropriate, accelerate the vesting of such Restricted Stock by removing any or all of the restrictions imposed by the terms of the Award Agreement.</w:t>
      </w:r>
    </w:p>
    <w:p>
      <w:pPr>
        <w:spacing w:after="0" w:line="102"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20"/>
          <w:szCs w:val="20"/>
          <w:color w:val="auto"/>
        </w:rPr>
        <w:t xml:space="preserve">6.4 </w:t>
      </w:r>
      <w:r>
        <w:rPr>
          <w:rFonts w:ascii="Times New Roman" w:cs="Times New Roman" w:eastAsia="Times New Roman" w:hAnsi="Times New Roman"/>
          <w:sz w:val="20"/>
          <w:szCs w:val="20"/>
          <w:u w:val="single" w:color="auto"/>
          <w:color w:val="auto"/>
        </w:rPr>
        <w:t>Share Vesting</w:t>
      </w:r>
      <w:r>
        <w:rPr>
          <w:rFonts w:ascii="Times New Roman" w:cs="Times New Roman" w:eastAsia="Times New Roman" w:hAnsi="Times New Roman"/>
          <w:sz w:val="20"/>
          <w:szCs w:val="20"/>
          <w:color w:val="auto"/>
        </w:rPr>
        <w:t>. No Restricted Stock that is not vested at a Holder’s Termination of Service shall thereafter become vested, except as may be otherwise provided by the Administrator either in the Award Agreement or by action of the Administrator following the grant of the Restricted Stock.</w:t>
      </w:r>
    </w:p>
    <w:p>
      <w:pPr>
        <w:spacing w:after="0" w:line="10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6.5 </w:t>
      </w:r>
      <w:r>
        <w:rPr>
          <w:rFonts w:ascii="Times New Roman" w:cs="Times New Roman" w:eastAsia="Times New Roman" w:hAnsi="Times New Roman"/>
          <w:sz w:val="20"/>
          <w:szCs w:val="20"/>
          <w:u w:val="single" w:color="auto"/>
          <w:color w:val="auto"/>
        </w:rPr>
        <w:t>Repurchase or Forfeiture of Restricted Stock</w:t>
      </w:r>
      <w:r>
        <w:rPr>
          <w:rFonts w:ascii="Times New Roman" w:cs="Times New Roman" w:eastAsia="Times New Roman" w:hAnsi="Times New Roman"/>
          <w:sz w:val="20"/>
          <w:szCs w:val="20"/>
          <w:color w:val="auto"/>
        </w:rPr>
        <w:t>. Except as otherwise determined by the Administrator at the time of the grant of the Award or thereafter, (i) if no price was paid by the Holder for the Restricted Stock, as set forth in the individual Award Agreement, upon a Termination of Service during the applicable restriction period, the Holder’s rights in unvested Restricted Stock then subject to restrictions shall lapse, and such Restricted Stock shall be surrendered to the Company and cancelled without consideration, and (ii) if a price was paid by the Holder for the Restricted Stock, as set forth in the individual Award Agreement, upon a Termination of Service during the applicable restriction period, the Company shall have the right to repurchase from the Holder the unvested Restricted Stock then subject to restrictions at a cash price per share equal to the price paid by the Holder for such Restricted Stock or such other amount as may be specified in the Award Agreement.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981" w:right="339" w:bottom="1440" w:gutter="0" w:footer="0" w:header="0"/>
        </w:sectPr>
      </w:pPr>
    </w:p>
    <w:bookmarkStart w:id="19" w:name="page20"/>
    <w:bookmarkEnd w:id="19"/>
    <w:p>
      <w:pPr>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6.6 </w:t>
      </w:r>
      <w:r>
        <w:rPr>
          <w:rFonts w:ascii="Times New Roman" w:cs="Times New Roman" w:eastAsia="Times New Roman" w:hAnsi="Times New Roman"/>
          <w:sz w:val="20"/>
          <w:szCs w:val="20"/>
          <w:u w:val="single" w:color="auto"/>
          <w:color w:val="auto"/>
        </w:rPr>
        <w:t>Certificates for Restricted Stock</w:t>
      </w:r>
      <w:r>
        <w:rPr>
          <w:rFonts w:ascii="Times New Roman" w:cs="Times New Roman" w:eastAsia="Times New Roman" w:hAnsi="Times New Roman"/>
          <w:sz w:val="20"/>
          <w:szCs w:val="20"/>
          <w:color w:val="auto"/>
        </w:rPr>
        <w:t>. Restricted Stock granted pursuant to the Plan may be evidenced in such manner as the Administrator shall determine. Certificates or book entries evidencing shares of Restricted Stock must include an appropriate legend referring to the terms, conditions, and restrictions applicable to such Restricted Stock. The Company may, in it sole discretion, (a) retain physical possession of any stock certificate evidencing shares of Restricted Stock until the restrictions thereon shall have lapsed and/or (b) require that the stock certificates evidencing shares of Restricted Stock be held in custody by a designated escrow agent (which may, but need not be, the Company) until the restrictions thereon shall have lapsed, and that the Holder deliver a stock power, endorsed in blank, relating to such Restricted Stock.</w:t>
      </w:r>
    </w:p>
    <w:p>
      <w:pPr>
        <w:spacing w:after="0" w:line="112"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20"/>
          <w:szCs w:val="20"/>
          <w:color w:val="auto"/>
        </w:rPr>
        <w:t xml:space="preserve">6.7 </w:t>
      </w:r>
      <w:r>
        <w:rPr>
          <w:rFonts w:ascii="Times New Roman" w:cs="Times New Roman" w:eastAsia="Times New Roman" w:hAnsi="Times New Roman"/>
          <w:sz w:val="20"/>
          <w:szCs w:val="20"/>
          <w:u w:val="single" w:color="auto"/>
          <w:color w:val="auto"/>
        </w:rPr>
        <w:t>Section 83(b) Election</w:t>
      </w:r>
      <w:r>
        <w:rPr>
          <w:rFonts w:ascii="Times New Roman" w:cs="Times New Roman" w:eastAsia="Times New Roman" w:hAnsi="Times New Roman"/>
          <w:sz w:val="20"/>
          <w:szCs w:val="20"/>
          <w:color w:val="auto"/>
        </w:rPr>
        <w:t>. If a Holder makes an election under Section 83(b) of the Code to be taxed with respect to the Restricted Stock as of the date of transfer of the Restricted Stock rather than as of the date or dates upon which the Holder would otherwise be taxable under Section 83(a) of the Code, the Holder shall be required to deliver a copy of such election to the Company promptly after filing such election with the Internal Revenue Service.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7.</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RESTRICTED STOCK UNITS</w:t>
      </w:r>
    </w:p>
    <w:p>
      <w:pPr>
        <w:spacing w:after="0" w:line="148" w:lineRule="exact"/>
        <w:rPr>
          <w:sz w:val="20"/>
          <w:szCs w:val="20"/>
          <w:color w:val="auto"/>
        </w:rPr>
      </w:pPr>
    </w:p>
    <w:p>
      <w:pPr>
        <w:jc w:val="both"/>
        <w:ind w:right="520" w:firstLine="648"/>
        <w:spacing w:after="0" w:line="310" w:lineRule="auto"/>
        <w:rPr>
          <w:sz w:val="20"/>
          <w:szCs w:val="20"/>
          <w:color w:val="auto"/>
        </w:rPr>
      </w:pPr>
      <w:r>
        <w:rPr>
          <w:rFonts w:ascii="Times New Roman" w:cs="Times New Roman" w:eastAsia="Times New Roman" w:hAnsi="Times New Roman"/>
          <w:sz w:val="19"/>
          <w:szCs w:val="19"/>
          <w:color w:val="auto"/>
        </w:rPr>
        <w:t xml:space="preserve">7.1 </w:t>
      </w:r>
      <w:r>
        <w:rPr>
          <w:rFonts w:ascii="Times New Roman" w:cs="Times New Roman" w:eastAsia="Times New Roman" w:hAnsi="Times New Roman"/>
          <w:sz w:val="19"/>
          <w:szCs w:val="19"/>
          <w:u w:val="single" w:color="auto"/>
          <w:color w:val="auto"/>
        </w:rPr>
        <w:t>Grant of Restricted Stock Units</w:t>
      </w:r>
      <w:r>
        <w:rPr>
          <w:rFonts w:ascii="Times New Roman" w:cs="Times New Roman" w:eastAsia="Times New Roman" w:hAnsi="Times New Roman"/>
          <w:sz w:val="19"/>
          <w:szCs w:val="19"/>
          <w:color w:val="auto"/>
        </w:rPr>
        <w:t>. The Administrator is authorized to grant Awards of Restricted Stock Units to any Eligible Individual selected by the Administrator in such amounts and subject to such terms and conditions as determined by the Administrator.</w:t>
      </w:r>
    </w:p>
    <w:p>
      <w:pPr>
        <w:spacing w:after="0" w:line="57" w:lineRule="exact"/>
        <w:rPr>
          <w:sz w:val="20"/>
          <w:szCs w:val="20"/>
          <w:color w:val="auto"/>
        </w:rPr>
      </w:pPr>
    </w:p>
    <w:p>
      <w:pPr>
        <w:ind w:right="60" w:firstLine="648"/>
        <w:spacing w:after="0" w:line="269" w:lineRule="auto"/>
        <w:rPr>
          <w:sz w:val="20"/>
          <w:szCs w:val="20"/>
          <w:color w:val="auto"/>
        </w:rPr>
      </w:pPr>
      <w:r>
        <w:rPr>
          <w:rFonts w:ascii="Times New Roman" w:cs="Times New Roman" w:eastAsia="Times New Roman" w:hAnsi="Times New Roman"/>
          <w:sz w:val="20"/>
          <w:szCs w:val="20"/>
          <w:color w:val="auto"/>
        </w:rPr>
        <w:t xml:space="preserve">7.2 </w:t>
      </w:r>
      <w:r>
        <w:rPr>
          <w:rFonts w:ascii="Times New Roman" w:cs="Times New Roman" w:eastAsia="Times New Roman" w:hAnsi="Times New Roman"/>
          <w:sz w:val="20"/>
          <w:szCs w:val="20"/>
          <w:u w:val="single" w:color="auto"/>
          <w:color w:val="auto"/>
        </w:rPr>
        <w:t>Term</w:t>
      </w:r>
      <w:r>
        <w:rPr>
          <w:rFonts w:ascii="Times New Roman" w:cs="Times New Roman" w:eastAsia="Times New Roman" w:hAnsi="Times New Roman"/>
          <w:sz w:val="20"/>
          <w:szCs w:val="20"/>
          <w:color w:val="auto"/>
        </w:rPr>
        <w:t>. Except as otherwise provided herein, the term of a Restricted Stock Unit award shall be set by the Administrator in its sole discretion.</w:t>
      </w:r>
    </w:p>
    <w:p>
      <w:pPr>
        <w:spacing w:after="0" w:line="105"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20"/>
          <w:szCs w:val="20"/>
          <w:color w:val="auto"/>
        </w:rPr>
        <w:t xml:space="preserve">7.3 </w:t>
      </w:r>
      <w:r>
        <w:rPr>
          <w:rFonts w:ascii="Times New Roman" w:cs="Times New Roman" w:eastAsia="Times New Roman" w:hAnsi="Times New Roman"/>
          <w:sz w:val="20"/>
          <w:szCs w:val="20"/>
          <w:u w:val="single" w:color="auto"/>
          <w:color w:val="auto"/>
        </w:rPr>
        <w:t>Purchase Price</w:t>
      </w:r>
      <w:r>
        <w:rPr>
          <w:rFonts w:ascii="Times New Roman" w:cs="Times New Roman" w:eastAsia="Times New Roman" w:hAnsi="Times New Roman"/>
          <w:sz w:val="20"/>
          <w:szCs w:val="20"/>
          <w:color w:val="auto"/>
        </w:rPr>
        <w:t xml:space="preserve">. The Administrator shall specify the purchase price, if any, to be paid by the Holder to the Company with respect to any Restricted Stock Unit award;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value of the consideration shall not be less than the par value of a Share, unless otherwise permitted by Applicable Law. The purchase price per Share may, however, be less than the Fair Market Value. In all cases, legal consideration shall be required for each issuance of Restricted Stock Units.</w:t>
      </w:r>
    </w:p>
    <w:p>
      <w:pPr>
        <w:spacing w:after="0" w:line="120"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0"/>
          <w:szCs w:val="20"/>
          <w:color w:val="auto"/>
        </w:rPr>
        <w:t xml:space="preserve">7.4 </w:t>
      </w:r>
      <w:r>
        <w:rPr>
          <w:rFonts w:ascii="Times New Roman" w:cs="Times New Roman" w:eastAsia="Times New Roman" w:hAnsi="Times New Roman"/>
          <w:sz w:val="20"/>
          <w:szCs w:val="20"/>
          <w:u w:val="single" w:color="auto"/>
          <w:color w:val="auto"/>
        </w:rPr>
        <w:t>Vesting of Restricted Stock Units</w:t>
      </w:r>
      <w:r>
        <w:rPr>
          <w:rFonts w:ascii="Times New Roman" w:cs="Times New Roman" w:eastAsia="Times New Roman" w:hAnsi="Times New Roman"/>
          <w:sz w:val="20"/>
          <w:szCs w:val="20"/>
          <w:color w:val="auto"/>
        </w:rPr>
        <w:t>. At the time of grant, the Administrator shall specify the date or dates on which the Restricted Stock Units shall become fully vested and nonforfeitable, and may specify such conditions to vesting as it deems appropriate, including, without limitation, vesting based upon the Holder’s duration of service to the Company or any Subsidiary, one or more Performance Criteria, Company performance, individual performance or other specific criteria, in each case on a specified date or dates or over any period or periods, as determined by the Administrator, subject to Section 3.3.</w:t>
      </w:r>
    </w:p>
    <w:p>
      <w:pPr>
        <w:spacing w:after="0" w:line="111" w:lineRule="exact"/>
        <w:rPr>
          <w:sz w:val="20"/>
          <w:szCs w:val="20"/>
          <w:color w:val="auto"/>
        </w:rPr>
      </w:pPr>
    </w:p>
    <w:p>
      <w:pPr>
        <w:ind w:right="120" w:firstLine="648"/>
        <w:spacing w:after="0"/>
        <w:rPr>
          <w:sz w:val="20"/>
          <w:szCs w:val="20"/>
          <w:color w:val="auto"/>
        </w:rPr>
      </w:pPr>
      <w:r>
        <w:rPr>
          <w:rFonts w:ascii="Times New Roman" w:cs="Times New Roman" w:eastAsia="Times New Roman" w:hAnsi="Times New Roman"/>
          <w:sz w:val="20"/>
          <w:szCs w:val="20"/>
          <w:color w:val="auto"/>
        </w:rPr>
        <w:t xml:space="preserve">7.5 </w:t>
      </w:r>
      <w:r>
        <w:rPr>
          <w:rFonts w:ascii="Times New Roman" w:cs="Times New Roman" w:eastAsia="Times New Roman" w:hAnsi="Times New Roman"/>
          <w:sz w:val="20"/>
          <w:szCs w:val="20"/>
          <w:u w:val="single" w:color="auto"/>
          <w:color w:val="auto"/>
        </w:rPr>
        <w:t>Maturity and Payment</w:t>
      </w:r>
      <w:r>
        <w:rPr>
          <w:rFonts w:ascii="Times New Roman" w:cs="Times New Roman" w:eastAsia="Times New Roman" w:hAnsi="Times New Roman"/>
          <w:sz w:val="20"/>
          <w:szCs w:val="20"/>
          <w:color w:val="auto"/>
        </w:rPr>
        <w:t xml:space="preserve">. At the time of grant, the Administrator shall specify the maturity date applicable to each grant of Restricted Stock Units which shall be no earlier than the vesting date or dates of the Award and may be determined at the election of the Holder (if permitted by the applicable Award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except as otherwise expressly set forth in an applicable Award Agreement, the maturity date relating to each Restricted Stock Unit shall not occur following the later of (a) the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of the third month following the end of calendar year in which the applicable portion of the Restricted Stock Unit vests; or (b) the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of the third month following the end of the Company’s fiscal year in which the applicable portion of the Restricted Stock Unit vests. On the maturity date, the Company shall, subject to Section 10.4(e), transfer to the Holder one unrestricted, fully transferable Share for each Restricted Stock Unit scheduled to be paid out on such date and not previously forfeited, or in the sole discretion of the Administrator, an amount in cash equal to the Fair Market Value of such Shares on the maturity date or a combination of cash and Common Stock as determined by the Administrator. No portion of a Restricted Stock Unit which is unexercisable at a Holder’s Termination of Service shall thereafter vest, except as may be otherwise provided by the Administrator either in the Award Agreement or by action of the Administrator following the grant of the Restricted Stock Unit.</w:t>
      </w:r>
    </w:p>
    <w:p>
      <w:pPr>
        <w:spacing w:after="0" w:line="122" w:lineRule="exact"/>
        <w:rPr>
          <w:sz w:val="20"/>
          <w:szCs w:val="20"/>
          <w:color w:val="auto"/>
        </w:rPr>
      </w:pPr>
    </w:p>
    <w:p>
      <w:pPr>
        <w:jc w:val="both"/>
        <w:ind w:right="100" w:firstLine="648"/>
        <w:spacing w:after="0" w:line="261" w:lineRule="auto"/>
        <w:rPr>
          <w:sz w:val="20"/>
          <w:szCs w:val="20"/>
          <w:color w:val="auto"/>
        </w:rPr>
      </w:pPr>
      <w:r>
        <w:rPr>
          <w:rFonts w:ascii="Times New Roman" w:cs="Times New Roman" w:eastAsia="Times New Roman" w:hAnsi="Times New Roman"/>
          <w:sz w:val="20"/>
          <w:szCs w:val="20"/>
          <w:color w:val="auto"/>
        </w:rPr>
        <w:t xml:space="preserve">7.6 </w:t>
      </w:r>
      <w:r>
        <w:rPr>
          <w:rFonts w:ascii="Times New Roman" w:cs="Times New Roman" w:eastAsia="Times New Roman" w:hAnsi="Times New Roman"/>
          <w:sz w:val="20"/>
          <w:szCs w:val="20"/>
          <w:u w:val="single" w:color="auto"/>
          <w:color w:val="auto"/>
        </w:rPr>
        <w:t>No Rights as a Stockholder</w:t>
      </w:r>
      <w:r>
        <w:rPr>
          <w:rFonts w:ascii="Times New Roman" w:cs="Times New Roman" w:eastAsia="Times New Roman" w:hAnsi="Times New Roman"/>
          <w:sz w:val="20"/>
          <w:szCs w:val="20"/>
          <w:color w:val="auto"/>
        </w:rPr>
        <w:t>. Unless otherwise determined by the Administrator, a Holder of Restricted Stock Units shall possess no incidents of ownership with respect to the Shares represented by such Restricted Stock Units, unless and until such Shares are transferred to the Holder pursuant to the terms of this Plan and the Award Agreement.</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20"/>
          </w:cols>
          <w:pgMar w:left="320" w:top="981" w:right="35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22"/>
          <w:szCs w:val="22"/>
          <w:b w:val="1"/>
          <w:bCs w:val="1"/>
          <w:color w:val="auto"/>
        </w:rPr>
        <w:t>ARTICLE 8.</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PERFORMANCE AWARDS AND STOCK PAYMENTS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8.1 </w:t>
      </w:r>
      <w:r>
        <w:rPr>
          <w:rFonts w:ascii="Times New Roman" w:cs="Times New Roman" w:eastAsia="Times New Roman" w:hAnsi="Times New Roman"/>
          <w:sz w:val="20"/>
          <w:szCs w:val="20"/>
          <w:u w:val="single" w:color="auto"/>
          <w:color w:val="auto"/>
        </w:rPr>
        <w:t>Performance Awards</w:t>
      </w:r>
      <w:r>
        <w:rPr>
          <w:rFonts w:ascii="Times New Roman" w:cs="Times New Roman" w:eastAsia="Times New Roman" w:hAnsi="Times New Roman"/>
          <w:sz w:val="20"/>
          <w:szCs w:val="20"/>
          <w:color w:val="auto"/>
        </w:rPr>
        <w:t>.</w:t>
      </w:r>
    </w:p>
    <w:p>
      <w:pPr>
        <w:spacing w:after="0" w:line="148" w:lineRule="exact"/>
        <w:rPr>
          <w:sz w:val="20"/>
          <w:szCs w:val="20"/>
          <w:color w:val="auto"/>
        </w:rPr>
      </w:pPr>
    </w:p>
    <w:p>
      <w:pPr>
        <w:jc w:val="both"/>
        <w:ind w:firstLine="1278"/>
        <w:spacing w:after="0" w:line="253" w:lineRule="auto"/>
        <w:tabs>
          <w:tab w:leader="none" w:pos="1935"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Administrator is authorized to grant Performance Awards, including Awards of Performance Stock Units and Awards of cash bonuses or other cash awards determined in the Administrator’s discretion from time to time, to any Eligible Individual. The value of Performance Awards, including Performance Stock Units, may vest based upon one or more of the Performance Criteria or other specific criteria determined by the Administrator, in each case on a specified date or dates or over any period or periods determined by the Administrator. Performance Awards, including Performance Stock Unit awards may be paid in cash, Shares, or a combination of cash and Shares, as determined by the Administrator.</w:t>
      </w:r>
    </w:p>
    <w:p>
      <w:pPr>
        <w:spacing w:after="0" w:line="124" w:lineRule="exact"/>
        <w:rPr>
          <w:rFonts w:ascii="Times New Roman" w:cs="Times New Roman" w:eastAsia="Times New Roman" w:hAnsi="Times New Roman"/>
          <w:sz w:val="20"/>
          <w:szCs w:val="20"/>
          <w:color w:val="auto"/>
        </w:rPr>
      </w:pPr>
    </w:p>
    <w:p>
      <w:pPr>
        <w:jc w:val="both"/>
        <w:ind w:firstLine="1278"/>
        <w:spacing w:after="0" w:line="261" w:lineRule="auto"/>
        <w:tabs>
          <w:tab w:leader="none" w:pos="1933"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Section 8.1(a), the Administrator may grant Performance Awards to any Eligible Individual in the form of a cash bonus payable upon the attainment of Performance Criteria, or such other criteria, whether or not objective, which are established by the Administrator, in each case on a specified date or dates or over any period or periods determined by the Administrator.</w:t>
      </w:r>
    </w:p>
    <w:p>
      <w:pPr>
        <w:spacing w:after="0" w:line="100" w:lineRule="exact"/>
        <w:rPr>
          <w:sz w:val="20"/>
          <w:szCs w:val="20"/>
          <w:color w:val="auto"/>
        </w:rPr>
      </w:pPr>
    </w:p>
    <w:p>
      <w:pPr>
        <w:ind w:right="140" w:firstLine="648"/>
        <w:spacing w:after="0" w:line="251" w:lineRule="auto"/>
        <w:rPr>
          <w:sz w:val="20"/>
          <w:szCs w:val="20"/>
          <w:color w:val="auto"/>
        </w:rPr>
      </w:pPr>
      <w:r>
        <w:rPr>
          <w:rFonts w:ascii="Times New Roman" w:cs="Times New Roman" w:eastAsia="Times New Roman" w:hAnsi="Times New Roman"/>
          <w:sz w:val="20"/>
          <w:szCs w:val="20"/>
          <w:color w:val="auto"/>
        </w:rPr>
        <w:t xml:space="preserve">8.2 </w:t>
      </w:r>
      <w:r>
        <w:rPr>
          <w:rFonts w:ascii="Times New Roman" w:cs="Times New Roman" w:eastAsia="Times New Roman" w:hAnsi="Times New Roman"/>
          <w:sz w:val="20"/>
          <w:szCs w:val="20"/>
          <w:u w:val="single" w:color="auto"/>
          <w:color w:val="auto"/>
        </w:rPr>
        <w:t>Stock Payments</w:t>
      </w:r>
      <w:r>
        <w:rPr>
          <w:rFonts w:ascii="Times New Roman" w:cs="Times New Roman" w:eastAsia="Times New Roman" w:hAnsi="Times New Roman"/>
          <w:sz w:val="20"/>
          <w:szCs w:val="20"/>
          <w:color w:val="auto"/>
        </w:rPr>
        <w:t>. The Administrator is authorized to make Stock Payments to any Eligible Individual. The number or value of Shares of any Stock Payment shall be determined by the Administrator and may vest based upon one or more Performance Criteria or any other specific criteria, including service to the Company or any Subsidiary, determined by the Administrator. Shares underlying a Stock Payment which is subject to a vesting schedule or other conditions or criteria set by the Administrator will not be issued until those conditions have been satisfied. Unless otherwise provided by the Administrator, a Holder of a Stock Payment shall have no rights as a Company stockholder with respect to such Stock Payment until such time as the Stock Payment has vested and the Shares underlying the Award have been issued to the Holder. Stock Payments may, but are not required to, be made in lieu of base salary, bonus, fees or other cash compensation otherwise payable to such Eligible Individual.</w:t>
      </w:r>
    </w:p>
    <w:p>
      <w:pPr>
        <w:spacing w:after="0" w:line="1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8.3 </w:t>
      </w:r>
      <w:r>
        <w:rPr>
          <w:rFonts w:ascii="Times New Roman" w:cs="Times New Roman" w:eastAsia="Times New Roman" w:hAnsi="Times New Roman"/>
          <w:sz w:val="20"/>
          <w:szCs w:val="20"/>
          <w:u w:val="single" w:color="auto"/>
          <w:color w:val="auto"/>
        </w:rPr>
        <w:t>Term</w:t>
      </w:r>
      <w:r>
        <w:rPr>
          <w:rFonts w:ascii="Times New Roman" w:cs="Times New Roman" w:eastAsia="Times New Roman" w:hAnsi="Times New Roman"/>
          <w:sz w:val="20"/>
          <w:szCs w:val="20"/>
          <w:color w:val="auto"/>
        </w:rPr>
        <w:t>. The term of a Performance Award and/or Stock Payment award shall be set by the Administrator in its sole discretion.</w:t>
      </w:r>
    </w:p>
    <w:p>
      <w:pPr>
        <w:spacing w:after="0" w:line="162"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20"/>
          <w:szCs w:val="20"/>
          <w:color w:val="auto"/>
        </w:rPr>
        <w:t xml:space="preserve">8.4 </w:t>
      </w:r>
      <w:r>
        <w:rPr>
          <w:rFonts w:ascii="Times New Roman" w:cs="Times New Roman" w:eastAsia="Times New Roman" w:hAnsi="Times New Roman"/>
          <w:sz w:val="20"/>
          <w:szCs w:val="20"/>
          <w:u w:val="single" w:color="auto"/>
          <w:color w:val="auto"/>
        </w:rPr>
        <w:t>Purchase Price</w:t>
      </w:r>
      <w:r>
        <w:rPr>
          <w:rFonts w:ascii="Times New Roman" w:cs="Times New Roman" w:eastAsia="Times New Roman" w:hAnsi="Times New Roman"/>
          <w:sz w:val="20"/>
          <w:szCs w:val="20"/>
          <w:color w:val="auto"/>
        </w:rPr>
        <w:t xml:space="preserve">. The Administrator may establish the purchase price of a Performance Award or Shares distributed as a Stock Payment award;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value of the consideration shall not be less than the par value of a Share, unless otherwise permitted by Applicable Law. The purchase price per Share may, however, be less than the Fair Market Value. In all cases, legal consideration shall be required for all Shares issued pursuant to a Performance Award of as a Stock Payment award.</w:t>
      </w:r>
    </w:p>
    <w:p>
      <w:pPr>
        <w:spacing w:after="0" w:line="120" w:lineRule="exact"/>
        <w:rPr>
          <w:sz w:val="20"/>
          <w:szCs w:val="20"/>
          <w:color w:val="auto"/>
        </w:rPr>
      </w:pPr>
    </w:p>
    <w:p>
      <w:pPr>
        <w:jc w:val="both"/>
        <w:ind w:right="540" w:firstLine="648"/>
        <w:spacing w:after="0" w:line="261" w:lineRule="auto"/>
        <w:rPr>
          <w:sz w:val="20"/>
          <w:szCs w:val="20"/>
          <w:color w:val="auto"/>
        </w:rPr>
      </w:pPr>
      <w:r>
        <w:rPr>
          <w:rFonts w:ascii="Times New Roman" w:cs="Times New Roman" w:eastAsia="Times New Roman" w:hAnsi="Times New Roman"/>
          <w:sz w:val="20"/>
          <w:szCs w:val="20"/>
          <w:color w:val="auto"/>
        </w:rPr>
        <w:t xml:space="preserve">8.5 </w:t>
      </w:r>
      <w:r>
        <w:rPr>
          <w:rFonts w:ascii="Times New Roman" w:cs="Times New Roman" w:eastAsia="Times New Roman" w:hAnsi="Times New Roman"/>
          <w:sz w:val="20"/>
          <w:szCs w:val="20"/>
          <w:u w:val="single" w:color="auto"/>
          <w:color w:val="auto"/>
        </w:rPr>
        <w:t>Maturity and Vesting</w:t>
      </w:r>
      <w:r>
        <w:rPr>
          <w:rFonts w:ascii="Times New Roman" w:cs="Times New Roman" w:eastAsia="Times New Roman" w:hAnsi="Times New Roman"/>
          <w:sz w:val="20"/>
          <w:szCs w:val="20"/>
          <w:color w:val="auto"/>
        </w:rPr>
        <w:t>. No portion of a Performance Award or Stock Payment award which is has not vested or matured at a Holder’s Termination of Service shall thereafter mature or vest, except as may be otherwise provided by the Administrator either in the Award Agreement or by action of the Administrator following the grant of the Performance Award or Stock Payment award.</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9.</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STOCK APPRECIATION RIGHTS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9.1 </w:t>
      </w:r>
      <w:r>
        <w:rPr>
          <w:rFonts w:ascii="Times New Roman" w:cs="Times New Roman" w:eastAsia="Times New Roman" w:hAnsi="Times New Roman"/>
          <w:sz w:val="20"/>
          <w:szCs w:val="20"/>
          <w:u w:val="single" w:color="auto"/>
          <w:color w:val="auto"/>
        </w:rPr>
        <w:t>Grant of Stock Appreciation Rights</w:t>
      </w:r>
      <w:r>
        <w:rPr>
          <w:rFonts w:ascii="Times New Roman" w:cs="Times New Roman" w:eastAsia="Times New Roman" w:hAnsi="Times New Roman"/>
          <w:sz w:val="20"/>
          <w:szCs w:val="20"/>
          <w:color w:val="auto"/>
        </w:rPr>
        <w:t>.</w:t>
      </w:r>
    </w:p>
    <w:p>
      <w:pPr>
        <w:spacing w:after="0" w:line="148" w:lineRule="exact"/>
        <w:rPr>
          <w:sz w:val="20"/>
          <w:szCs w:val="20"/>
          <w:color w:val="auto"/>
        </w:rPr>
      </w:pPr>
    </w:p>
    <w:p>
      <w:pPr>
        <w:ind w:firstLine="1278"/>
        <w:spacing w:after="0" w:line="283" w:lineRule="auto"/>
        <w:tabs>
          <w:tab w:leader="none" w:pos="1935"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Administrator is authorized to grant Stock Appreciation Rights to Eligible Individuals from time to time, in its sole discretion, on such terms and conditions as it may determine consistent with the Plan.</w:t>
      </w:r>
    </w:p>
    <w:p>
      <w:pPr>
        <w:spacing w:after="0" w:line="78" w:lineRule="exact"/>
        <w:rPr>
          <w:rFonts w:ascii="Times New Roman" w:cs="Times New Roman" w:eastAsia="Times New Roman" w:hAnsi="Times New Roman"/>
          <w:sz w:val="20"/>
          <w:szCs w:val="20"/>
          <w:color w:val="auto"/>
        </w:rPr>
      </w:pPr>
    </w:p>
    <w:p>
      <w:pPr>
        <w:jc w:val="both"/>
        <w:ind w:firstLine="1278"/>
        <w:spacing w:after="0" w:line="253" w:lineRule="auto"/>
        <w:tabs>
          <w:tab w:leader="none" w:pos="1933"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Stock Appreciation Right shall entitle the Holder (or other person entitled to exercise the Stock Appreciation Right pursuant to the Plan) to exercise all or a specified portion of the Stock Appreciation Right (to the extent then exercisable pursuant to its terms) and to receive from the Company an amount determined by multiplying the difference obtained by subtracting the exercise price per share of the Stock Appreciation Right from the Fair Market Value on the date of exercise of the Stock Appreciation Right by the number of Shares with respect to which the Stock Appreciation Right shall have been exercised, subject to any limitations the Administrator may impose. Except as described in (c) below, the exercise price per Share subject to each Stock Appreciation Right shall be set by the</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98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0"/>
          <w:szCs w:val="20"/>
          <w:color w:val="auto"/>
        </w:rPr>
        <w:t>Administrator, but shall not be less than 100% of the Fair Market Value on the date the Stock Appreciation Right is granted.</w:t>
      </w:r>
    </w:p>
    <w:p>
      <w:pPr>
        <w:spacing w:after="0" w:line="148" w:lineRule="exact"/>
        <w:rPr>
          <w:sz w:val="20"/>
          <w:szCs w:val="20"/>
          <w:color w:val="auto"/>
        </w:rPr>
      </w:pPr>
    </w:p>
    <w:p>
      <w:pPr>
        <w:jc w:val="both"/>
        <w:ind w:firstLine="1278"/>
        <w:spacing w:after="0" w:line="267" w:lineRule="auto"/>
        <w:tabs>
          <w:tab w:leader="none" w:pos="1935" w:val="left"/>
        </w:tabs>
        <w:numPr>
          <w:ilvl w:val="1"/>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the foregoing provisions of Section 9.1(b) to the contrary, in the case of an Stock Appreciation Right that is a Substitute Award, the price per share of the Shares subject to such Stock Appreciation Right may be less than 100% of the Fair Market Value per share on the date of grant;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excess of: (i) the aggregate Fair Market Value (as of the date such Substitute Award is granted) of the Shares subject to the Substitute Award, over (ii) the aggregate exercise price thereof does not exceed the excess of:</w:t>
      </w:r>
    </w:p>
    <w:p>
      <w:pPr>
        <w:spacing w:after="0" w:line="1" w:lineRule="exact"/>
        <w:rPr>
          <w:rFonts w:ascii="Times New Roman" w:cs="Times New Roman" w:eastAsia="Times New Roman" w:hAnsi="Times New Roman"/>
          <w:sz w:val="19"/>
          <w:szCs w:val="19"/>
          <w:color w:val="auto"/>
        </w:rPr>
      </w:pPr>
    </w:p>
    <w:p>
      <w:pPr>
        <w:jc w:val="both"/>
        <w:ind w:firstLine="8"/>
        <w:spacing w:after="0" w:line="253" w:lineRule="auto"/>
        <w:tabs>
          <w:tab w:leader="none" w:pos="282"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fair market value (as of the time immediately preceding the transaction giving rise to the Substitute Award, such fair market value to be determined by the Administrator) of the shares of the predecessor entity that were subject to the grant assumed or substituted for by the Company, over (y) the aggregate exercise price of such shares.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9.2 </w:t>
      </w:r>
      <w:r>
        <w:rPr>
          <w:rFonts w:ascii="Times New Roman" w:cs="Times New Roman" w:eastAsia="Times New Roman" w:hAnsi="Times New Roman"/>
          <w:sz w:val="20"/>
          <w:szCs w:val="20"/>
          <w:u w:val="single" w:color="auto"/>
          <w:color w:val="auto"/>
        </w:rPr>
        <w:t>Stock Appreciation Right Vesting</w:t>
      </w:r>
      <w:r>
        <w:rPr>
          <w:rFonts w:ascii="Times New Roman" w:cs="Times New Roman" w:eastAsia="Times New Roman" w:hAnsi="Times New Roman"/>
          <w:sz w:val="20"/>
          <w:szCs w:val="20"/>
          <w:color w:val="auto"/>
        </w:rPr>
        <w:t>.</w:t>
      </w:r>
    </w:p>
    <w:p>
      <w:pPr>
        <w:spacing w:after="0" w:line="148" w:lineRule="exact"/>
        <w:rPr>
          <w:sz w:val="20"/>
          <w:szCs w:val="20"/>
          <w:color w:val="auto"/>
        </w:rPr>
      </w:pPr>
    </w:p>
    <w:p>
      <w:pPr>
        <w:jc w:val="both"/>
        <w:ind w:firstLine="1278"/>
        <w:spacing w:after="0" w:line="257" w:lineRule="auto"/>
        <w:tabs>
          <w:tab w:leader="none" w:pos="1935"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period during which the right to exercise, in whole or in part, a Stock Appreciation Right vests in the Holder shall be set by the Administrator and the Administrator may determine that a Stock Appreciation Right may not be exercised in whole or in part for a specified period after it is granted. Such vesting may be based on service with the Company or any Subsidiary, or any other criteria selected by the Administrator. At any time after grant of a Stock Appreciation Right, the Administrator may, in its sole discretion and subject to whatever terms and conditions it selects, accelerate the period during which a Stock Appreciation Right vests.</w:t>
      </w:r>
    </w:p>
    <w:p>
      <w:pPr>
        <w:spacing w:after="0" w:line="105" w:lineRule="exact"/>
        <w:rPr>
          <w:rFonts w:ascii="Times New Roman" w:cs="Times New Roman" w:eastAsia="Times New Roman" w:hAnsi="Times New Roman"/>
          <w:sz w:val="20"/>
          <w:szCs w:val="20"/>
          <w:color w:val="auto"/>
        </w:rPr>
      </w:pPr>
    </w:p>
    <w:p>
      <w:pPr>
        <w:jc w:val="both"/>
        <w:ind w:firstLine="1278"/>
        <w:spacing w:after="0" w:line="261" w:lineRule="auto"/>
        <w:tabs>
          <w:tab w:leader="none" w:pos="1933"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portion of a Stock Appreciation Right which is unexercisable at Termination of Service shall thereafter become exercisable, except as may be otherwise provided by the Administrator either in the Award Agreement or by action of the Administrator following the grant of the Stock Appreciation Right.</w:t>
      </w:r>
    </w:p>
    <w:p>
      <w:pPr>
        <w:spacing w:after="0" w:line="100"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20"/>
          <w:szCs w:val="20"/>
          <w:color w:val="auto"/>
        </w:rPr>
        <w:t xml:space="preserve">9.3 </w:t>
      </w:r>
      <w:r>
        <w:rPr>
          <w:rFonts w:ascii="Times New Roman" w:cs="Times New Roman" w:eastAsia="Times New Roman" w:hAnsi="Times New Roman"/>
          <w:sz w:val="20"/>
          <w:szCs w:val="20"/>
          <w:u w:val="single" w:color="auto"/>
          <w:color w:val="auto"/>
        </w:rPr>
        <w:t>Manner of Exercise</w:t>
      </w:r>
      <w:r>
        <w:rPr>
          <w:rFonts w:ascii="Times New Roman" w:cs="Times New Roman" w:eastAsia="Times New Roman" w:hAnsi="Times New Roman"/>
          <w:sz w:val="20"/>
          <w:szCs w:val="20"/>
          <w:color w:val="auto"/>
        </w:rPr>
        <w:t>. All or a portion of an exercisable Stock Appreciation Right shall be deemed exercised upon delivery of all of the following to the stock administrator of the Company, or such other person or entity designated by the Administrator, or his, her or its office, as applicable:</w:t>
      </w:r>
    </w:p>
    <w:p>
      <w:pPr>
        <w:spacing w:after="0" w:line="94" w:lineRule="exact"/>
        <w:rPr>
          <w:sz w:val="20"/>
          <w:szCs w:val="20"/>
          <w:color w:val="auto"/>
        </w:rPr>
      </w:pPr>
    </w:p>
    <w:p>
      <w:pPr>
        <w:jc w:val="both"/>
        <w:ind w:firstLine="1278"/>
        <w:spacing w:after="0" w:line="261" w:lineRule="auto"/>
        <w:tabs>
          <w:tab w:leader="none" w:pos="1935"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written or electronic notice complying with the applicable rules established by the Administrator in accordance with Section 10.1 and 10.2 stating that the Stock Appreciation Right, or a portion thereof, is exercised. The notice shall be signed by the Holder or other person then entitled to exercise the Stock Appreciation Right or such portion of the Stock Appreciation Right;</w:t>
      </w:r>
    </w:p>
    <w:p>
      <w:pPr>
        <w:spacing w:after="0" w:line="100" w:lineRule="exact"/>
        <w:rPr>
          <w:rFonts w:ascii="Times New Roman" w:cs="Times New Roman" w:eastAsia="Times New Roman" w:hAnsi="Times New Roman"/>
          <w:sz w:val="20"/>
          <w:szCs w:val="20"/>
          <w:color w:val="auto"/>
        </w:rPr>
      </w:pPr>
    </w:p>
    <w:p>
      <w:pPr>
        <w:jc w:val="both"/>
        <w:ind w:firstLine="1278"/>
        <w:spacing w:after="0" w:line="261" w:lineRule="auto"/>
        <w:tabs>
          <w:tab w:leader="none" w:pos="1933"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representations and documents as the Administrator, in its sole discretion, deems necessary or advisable to effect compliance with Applicable Law. The Administrator may, in its sole discretion, also take whatever additional actions it deems appropriate to effect such compliance; and</w:t>
      </w:r>
    </w:p>
    <w:p>
      <w:pPr>
        <w:spacing w:after="0" w:line="113" w:lineRule="exact"/>
        <w:rPr>
          <w:rFonts w:ascii="Times New Roman" w:cs="Times New Roman" w:eastAsia="Times New Roman" w:hAnsi="Times New Roman"/>
          <w:sz w:val="20"/>
          <w:szCs w:val="20"/>
          <w:color w:val="auto"/>
        </w:rPr>
      </w:pPr>
    </w:p>
    <w:p>
      <w:pPr>
        <w:ind w:firstLine="1278"/>
        <w:spacing w:after="0" w:line="269" w:lineRule="auto"/>
        <w:tabs>
          <w:tab w:leader="none" w:pos="1935"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Stock Appreciation Right shall be exercised by any person or persons other than the Holder, appropriate proof of the right of such person or persons to exercise the Stock Appreciation Right.</w:t>
      </w:r>
    </w:p>
    <w:p>
      <w:pPr>
        <w:spacing w:after="0" w:line="101" w:lineRule="exact"/>
        <w:rPr>
          <w:sz w:val="20"/>
          <w:szCs w:val="20"/>
          <w:color w:val="auto"/>
        </w:rPr>
      </w:pPr>
    </w:p>
    <w:p>
      <w:pPr>
        <w:ind w:right="80" w:firstLine="648"/>
        <w:spacing w:after="0" w:line="249" w:lineRule="auto"/>
        <w:rPr>
          <w:sz w:val="20"/>
          <w:szCs w:val="20"/>
          <w:color w:val="auto"/>
        </w:rPr>
      </w:pPr>
      <w:r>
        <w:rPr>
          <w:rFonts w:ascii="Times New Roman" w:cs="Times New Roman" w:eastAsia="Times New Roman" w:hAnsi="Times New Roman"/>
          <w:sz w:val="20"/>
          <w:szCs w:val="20"/>
          <w:color w:val="auto"/>
        </w:rPr>
        <w:t xml:space="preserve">9.4 </w:t>
      </w:r>
      <w:r>
        <w:rPr>
          <w:rFonts w:ascii="Times New Roman" w:cs="Times New Roman" w:eastAsia="Times New Roman" w:hAnsi="Times New Roman"/>
          <w:sz w:val="20"/>
          <w:szCs w:val="20"/>
          <w:u w:val="single" w:color="auto"/>
          <w:color w:val="auto"/>
        </w:rPr>
        <w:t>Stock Appreciation Right Term</w:t>
      </w:r>
      <w:r>
        <w:rPr>
          <w:rFonts w:ascii="Times New Roman" w:cs="Times New Roman" w:eastAsia="Times New Roman" w:hAnsi="Times New Roman"/>
          <w:sz w:val="20"/>
          <w:szCs w:val="20"/>
          <w:color w:val="auto"/>
        </w:rPr>
        <w:t>. The term of each Stock Appreciation Right (the “</w:t>
      </w:r>
      <w:r>
        <w:rPr>
          <w:rFonts w:ascii="Times New Roman" w:cs="Times New Roman" w:eastAsia="Times New Roman" w:hAnsi="Times New Roman"/>
          <w:sz w:val="20"/>
          <w:szCs w:val="20"/>
          <w:b w:val="1"/>
          <w:bCs w:val="1"/>
          <w:i w:val="1"/>
          <w:iCs w:val="1"/>
          <w:color w:val="auto"/>
        </w:rPr>
        <w:t>Stock Appreciation Right Term</w:t>
      </w:r>
      <w:r>
        <w:rPr>
          <w:rFonts w:ascii="Times New Roman" w:cs="Times New Roman" w:eastAsia="Times New Roman" w:hAnsi="Times New Roman"/>
          <w:sz w:val="20"/>
          <w:szCs w:val="20"/>
          <w:color w:val="auto"/>
        </w:rPr>
        <w:t xml:space="preserve">”) shall be set by the Administrator in its sole discretion;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term shall not be more than ten (10) years from the date the Stock Appreciation Right is granted. The Administrator shall determine the time period, including the time period following a Termination of Service, during which the Holder has the right to exercise a vested Stock Appreciation Right, which time period may not extend beyond the expiration date of the Stock Appreciation Right Term applicable to such Stock Appreciation Right. No portion of a Stock Appreciation Right that is not exercisable at a Holder’s Termination of Service shall thereafter be exercisable, except as may be otherwise provided by the Administrator either in the Award Agreement or by action of the Administrator following the grant of the Stock Appreciation Right. Except as limited by the requirements of Section 409A of the Code and regulations and rulings thereunder, the Administrator may extend the Stock Appreciation Right Term of any outstanding Stock Appreciation Right, and may extend the time period during which vested Stock Appreciation Rights may be exercised, in connection with any Termination of Service of the Holder, and may amend any other term or condition of such Stock Appreciation Right relating to such a Termination of Service.</w:t>
      </w:r>
    </w:p>
    <w:p>
      <w:pPr>
        <w:spacing w:after="0" w:line="133" w:lineRule="exact"/>
        <w:rPr>
          <w:sz w:val="20"/>
          <w:szCs w:val="20"/>
          <w:color w:val="auto"/>
        </w:rPr>
      </w:pPr>
    </w:p>
    <w:p>
      <w:pPr>
        <w:jc w:val="both"/>
        <w:ind w:right="160" w:firstLine="648"/>
        <w:spacing w:after="0" w:line="261" w:lineRule="auto"/>
        <w:rPr>
          <w:sz w:val="20"/>
          <w:szCs w:val="20"/>
          <w:color w:val="auto"/>
        </w:rPr>
      </w:pPr>
      <w:r>
        <w:rPr>
          <w:rFonts w:ascii="Times New Roman" w:cs="Times New Roman" w:eastAsia="Times New Roman" w:hAnsi="Times New Roman"/>
          <w:sz w:val="20"/>
          <w:szCs w:val="20"/>
          <w:color w:val="auto"/>
        </w:rPr>
        <w:t xml:space="preserve">9.5 </w:t>
      </w:r>
      <w:r>
        <w:rPr>
          <w:rFonts w:ascii="Times New Roman" w:cs="Times New Roman" w:eastAsia="Times New Roman" w:hAnsi="Times New Roman"/>
          <w:sz w:val="20"/>
          <w:szCs w:val="20"/>
          <w:u w:val="single" w:color="auto"/>
          <w:color w:val="auto"/>
        </w:rPr>
        <w:t>Payment</w:t>
      </w:r>
      <w:r>
        <w:rPr>
          <w:rFonts w:ascii="Times New Roman" w:cs="Times New Roman" w:eastAsia="Times New Roman" w:hAnsi="Times New Roman"/>
          <w:sz w:val="20"/>
          <w:szCs w:val="20"/>
          <w:color w:val="auto"/>
        </w:rPr>
        <w:t>. Payment of the amounts payable with respect to Stock Appreciation Rights pursuant to this Article 9 shall be in cash, Shares (based on its Fair Market Value as of the date the Stock Appreciation Right is exercised), or a combination of both, as determined by the Administrator.</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981"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22"/>
          <w:szCs w:val="22"/>
          <w:b w:val="1"/>
          <w:bCs w:val="1"/>
          <w:color w:val="auto"/>
        </w:rPr>
        <w:t>ARTICLE 10.</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ADDITIONAL TERMS OF AWARDS</w:t>
      </w:r>
    </w:p>
    <w:p>
      <w:pPr>
        <w:spacing w:after="0" w:line="148"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20"/>
          <w:szCs w:val="20"/>
          <w:color w:val="auto"/>
        </w:rPr>
        <w:t xml:space="preserve">10.1 </w:t>
      </w:r>
      <w:r>
        <w:rPr>
          <w:rFonts w:ascii="Times New Roman" w:cs="Times New Roman" w:eastAsia="Times New Roman" w:hAnsi="Times New Roman"/>
          <w:sz w:val="20"/>
          <w:szCs w:val="20"/>
          <w:u w:val="single" w:color="auto"/>
          <w:color w:val="auto"/>
        </w:rPr>
        <w:t>Payment</w:t>
      </w:r>
      <w:r>
        <w:rPr>
          <w:rFonts w:ascii="Times New Roman" w:cs="Times New Roman" w:eastAsia="Times New Roman" w:hAnsi="Times New Roman"/>
          <w:sz w:val="20"/>
          <w:szCs w:val="20"/>
          <w:color w:val="auto"/>
        </w:rPr>
        <w:t xml:space="preserve">. The Administrator shall determine the methods by which payments by any Holder with respect to any Awards granted under the Plan shall be made, including, without limitation: (a) cash or check, (b) Shares (including, in the case of payment of the exercise price of an Award, Shares issuable pursuant to the exercise of the Award) or Shares held for such period of time as may be required by the Administrator in order to avoid adverse accounting consequences, in each case, having a Fair Market Value on the date of delivery equal to the aggregate payments required, (c) delivery of a written or electronic notice that the Holder has placed a market sell order with a broker with respect to Shares then issuable upon exercise or vesting of an Award, and that the broker has been directed to pay a sufficient portion of the net proceeds of the sale to the Company in satisfaction of the aggregate payments required;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payment of such proceeds is then made to the Company upon settlement of such sale, (d) other form of legal consideration acceptable to the Administrator, or (e) any combination of the foregoing. The Administrator shall also determine the methods by which Shares shall be delivered or deemed to be delivered to Holders. Notwithstanding any other provision of the Plan to the contrary, no Holder who is a Director or an “executive officer” of the Company within the meaning of Section 13(k) of the Exchange Act shall be permitted to make payment with respect to any Awards granted under the Plan, or continue any extension of credit with respect to such payment, with a loan from the Company or a loan arranged by the Company in violation of Section 13(k) of the Exchange Act.</w:t>
      </w:r>
    </w:p>
    <w:p>
      <w:pPr>
        <w:spacing w:after="0" w:line="112"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20"/>
          <w:szCs w:val="20"/>
          <w:color w:val="auto"/>
        </w:rPr>
        <w:t xml:space="preserve">10.2 </w:t>
      </w:r>
      <w:r>
        <w:rPr>
          <w:rFonts w:ascii="Times New Roman" w:cs="Times New Roman" w:eastAsia="Times New Roman" w:hAnsi="Times New Roman"/>
          <w:sz w:val="20"/>
          <w:szCs w:val="20"/>
          <w:u w:val="single" w:color="auto"/>
          <w:color w:val="auto"/>
        </w:rPr>
        <w:t>Tax Withholding</w:t>
      </w:r>
      <w:r>
        <w:rPr>
          <w:rFonts w:ascii="Times New Roman" w:cs="Times New Roman" w:eastAsia="Times New Roman" w:hAnsi="Times New Roman"/>
          <w:sz w:val="20"/>
          <w:szCs w:val="20"/>
          <w:color w:val="auto"/>
        </w:rPr>
        <w:t>. The Company or any Subsidiary shall have the authority and the right to deduct or withhold, or require a Holder to remit to the Company, an amount sufficient to satisfy federal, state, local and foreign taxes (including the Holder’s FICA or employment tax obligation) required by law to be withheld with respect to any taxable event concerning a Holder arising as a result of the Plan. The Administrator may in its sole discretion and in satisfaction of the foregoing requirement withhold, or allow a Holder to elect to have the Company withhold, Shares otherwise issuable under an Award (or allow the surrender of Shares). The number of Shares which may be so withheld or surrendered shall be based on the Holder’s minimum applicable tax withholding rate for federal, state, local and foreign income tax and payroll tax purposes that are applicable to such supplemental taxable income, or such other rate permitted by the Administrator that does not cause adverse accounting consequences. The Administrator shall determine the fair market value of the Shares, consistent with applicable provisions of the Code, for tax withholding obligations due in connection with a broker-assisted cashless Option or Stock Appreciation Right exercise involving the sale of Shares to pay the Option or Stock Appreciation Right exercise price or any tax withholding obligation.</w:t>
      </w:r>
    </w:p>
    <w:p>
      <w:pPr>
        <w:spacing w:after="0" w:line="1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10.3 </w:t>
      </w:r>
      <w:r>
        <w:rPr>
          <w:rFonts w:ascii="Times New Roman" w:cs="Times New Roman" w:eastAsia="Times New Roman" w:hAnsi="Times New Roman"/>
          <w:sz w:val="20"/>
          <w:szCs w:val="20"/>
          <w:u w:val="single" w:color="auto"/>
          <w:color w:val="auto"/>
        </w:rPr>
        <w:t>Transferability of Awards</w:t>
      </w:r>
      <w:r>
        <w:rPr>
          <w:rFonts w:ascii="Times New Roman" w:cs="Times New Roman" w:eastAsia="Times New Roman" w:hAnsi="Times New Roman"/>
          <w:sz w:val="20"/>
          <w:szCs w:val="20"/>
          <w:color w:val="auto"/>
        </w:rPr>
        <w:t>.</w:t>
      </w:r>
    </w:p>
    <w:p>
      <w:pPr>
        <w:spacing w:after="0" w:line="148" w:lineRule="exact"/>
        <w:rPr>
          <w:sz w:val="20"/>
          <w:szCs w:val="20"/>
          <w:color w:val="auto"/>
        </w:rPr>
      </w:pPr>
    </w:p>
    <w:p>
      <w:pPr>
        <w:ind w:left="1940" w:hanging="662"/>
        <w:spacing w:after="0"/>
        <w:tabs>
          <w:tab w:leader="none" w:pos="19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provided in Section 10.3(b):</w:t>
      </w:r>
    </w:p>
    <w:p>
      <w:pPr>
        <w:spacing w:after="0" w:line="148" w:lineRule="exact"/>
        <w:rPr>
          <w:rFonts w:ascii="Times New Roman" w:cs="Times New Roman" w:eastAsia="Times New Roman" w:hAnsi="Times New Roman"/>
          <w:sz w:val="20"/>
          <w:szCs w:val="20"/>
          <w:color w:val="auto"/>
        </w:rPr>
      </w:pPr>
    </w:p>
    <w:p>
      <w:pPr>
        <w:jc w:val="both"/>
        <w:ind w:firstLine="1952"/>
        <w:spacing w:after="0" w:line="258" w:lineRule="auto"/>
        <w:tabs>
          <w:tab w:leader="none" w:pos="2590"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Award under the Plan may be sold, pledged, encumbered, assigned or transferred in any manner other than by will or the laws of descent and distribution or, subject to the consent of the Administrator, pursuant to a DRO, unless and until such Award has been exercised, or the Shares underlying such Award have been issued, and all restrictions, including without limitation risks of forfeiture, applicable to such Shares have lapsed;</w:t>
      </w:r>
    </w:p>
    <w:p>
      <w:pPr>
        <w:spacing w:after="0" w:line="104" w:lineRule="exact"/>
        <w:rPr>
          <w:rFonts w:ascii="Times New Roman" w:cs="Times New Roman" w:eastAsia="Times New Roman" w:hAnsi="Times New Roman"/>
          <w:sz w:val="20"/>
          <w:szCs w:val="20"/>
          <w:color w:val="auto"/>
        </w:rPr>
      </w:pPr>
    </w:p>
    <w:p>
      <w:pPr>
        <w:jc w:val="both"/>
        <w:ind w:firstLine="1952"/>
        <w:spacing w:after="0" w:line="257" w:lineRule="auto"/>
        <w:tabs>
          <w:tab w:leader="none" w:pos="2591"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Award or interest or right therein shall be liable for the debts, contracts or engagements of the Holder or his or her successors in interest or shall be subject to disposition by transfer, alienation, anticipation, pledge, hypothecation,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 and</w:t>
      </w:r>
    </w:p>
    <w:p>
      <w:pPr>
        <w:spacing w:after="0" w:line="105" w:lineRule="exact"/>
        <w:rPr>
          <w:rFonts w:ascii="Times New Roman" w:cs="Times New Roman" w:eastAsia="Times New Roman" w:hAnsi="Times New Roman"/>
          <w:sz w:val="20"/>
          <w:szCs w:val="20"/>
          <w:color w:val="auto"/>
        </w:rPr>
      </w:pPr>
    </w:p>
    <w:p>
      <w:pPr>
        <w:jc w:val="both"/>
        <w:ind w:firstLine="1952"/>
        <w:spacing w:after="0" w:line="253" w:lineRule="auto"/>
        <w:tabs>
          <w:tab w:leader="none" w:pos="2592"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lifetime of the Holder, only the Holder may exercise an Award (or any portion thereof) granted to him under the Plan, unless it has been disposed of pursuant to a DRO; after the death of the Holder, any exercisable portion of an Award may, prior to the time when such portion becomes unexercisable under the Plan or the applicable Award Agreement, be exercised by Holder’s personal representative or by any person empowered to do so under the deceased Holder’s will or under the then applicable laws of descent and distribution.</w:t>
      </w:r>
    </w:p>
    <w:p>
      <w:pPr>
        <w:spacing w:after="0" w:line="110" w:lineRule="exact"/>
        <w:rPr>
          <w:rFonts w:ascii="Times New Roman" w:cs="Times New Roman" w:eastAsia="Times New Roman" w:hAnsi="Times New Roman"/>
          <w:sz w:val="20"/>
          <w:szCs w:val="20"/>
          <w:color w:val="auto"/>
        </w:rPr>
      </w:pPr>
    </w:p>
    <w:p>
      <w:pPr>
        <w:jc w:val="both"/>
        <w:ind w:firstLine="1278"/>
        <w:spacing w:after="0" w:line="268" w:lineRule="auto"/>
        <w:tabs>
          <w:tab w:leader="none" w:pos="1933"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Section 10.3(a), the Administrator, in its sole discretion, may determine to permit a Holder to transfer an Award other than an Incentive Stock Option to any one or more Permitted Transferees, subject to the following terms and conditions: (i) an Award transferred to a Permitted Transferee shall not be assignable or</w:t>
      </w:r>
    </w:p>
    <w:p>
      <w:pPr>
        <w:sectPr>
          <w:pgSz w:w="11900" w:h="16838" w:orient="portrait"/>
          <w:cols w:equalWidth="0" w:num="1">
            <w:col w:w="11240"/>
          </w:cols>
          <w:pgMar w:left="320" w:top="986" w:right="339" w:bottom="1440" w:gutter="0" w:footer="0" w:header="0"/>
        </w:sect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986" w:right="339" w:bottom="1440" w:gutter="0" w:footer="0" w:header="0"/>
          <w:type w:val="continuous"/>
        </w:sectPr>
      </w:pPr>
    </w:p>
    <w:bookmarkStart w:id="23" w:name="page24"/>
    <w:bookmarkEnd w:id="23"/>
    <w:p>
      <w:pPr>
        <w:jc w:val="both"/>
        <w:spacing w:after="0" w:line="253" w:lineRule="auto"/>
        <w:rPr>
          <w:sz w:val="20"/>
          <w:szCs w:val="20"/>
          <w:color w:val="auto"/>
        </w:rPr>
      </w:pPr>
      <w:r>
        <w:rPr>
          <w:rFonts w:ascii="Times New Roman" w:cs="Times New Roman" w:eastAsia="Times New Roman" w:hAnsi="Times New Roman"/>
          <w:sz w:val="20"/>
          <w:szCs w:val="20"/>
          <w:color w:val="auto"/>
        </w:rPr>
        <w:t>transferable by the Permitted Transferee other than by will or the laws of descent and distribution; (ii) an Award transferred to a Permitted Transferee shall continue to be subject to all the terms and conditions of the Award as applicable to the original Holder (other than the ability to further transfer the Award); (iii) any transfer of an Award to a Permitted Transferee shall be without consideration; and (iv) the Holder and the Permitted Transferee shall execute any and all documents requested by the Administrator, including, without limitation documents to (A) confirm the status of the transferee as a Permitted Transferee, (B) satisfy any requirements for an exemption for the transfer under Applicable Law and (C) evidence the transfer.</w:t>
      </w:r>
    </w:p>
    <w:p>
      <w:pPr>
        <w:spacing w:after="0" w:line="111" w:lineRule="exact"/>
        <w:rPr>
          <w:sz w:val="20"/>
          <w:szCs w:val="20"/>
          <w:color w:val="auto"/>
        </w:rPr>
      </w:pPr>
    </w:p>
    <w:p>
      <w:pPr>
        <w:jc w:val="both"/>
        <w:ind w:firstLine="1278"/>
        <w:spacing w:after="0" w:line="250" w:lineRule="auto"/>
        <w:tabs>
          <w:tab w:leader="none" w:pos="1935"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Section 10.3(a), a Holder may, in the manner determined by the Administrator, designate a beneficiary to exercise the rights of the Holder and to receive any distribution with respect to any Award upon the Holder’s death. A beneficiary, legal guardian, legal representative, or other person claiming any rights pursuant to the Plan is subject to all terms and conditions of the Plan and any Award Agreement applicable to the Holder, except to the extent the Plan and the Award Agreement otherwise provide, and to any additional restrictions deemed necessary or appropriate by the Administrator. If the Holder is married or a domestic partner in a domestic partnership qualified under Applicable Law and resides in a community property state, a designation of a person other than the Holder’s spouse or domestic partner, as applicable, as his or her beneficiary with respect to more than 50% of the Holder’s interest in the Award shall not be effective without the prior written or electronic consent of the Holder’s spouse or domestic partner. If no beneficiary has been designated or survives the Holder, payment shall be made to the person entitled thereto pursuant to the Holder’s will or the laws of descent and distribution. Subject to the foregoing, a beneficiary designation may be changed or revoked by a Holder at any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change or revocation is filed with the Administrator prior to the Holder’s death.</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10.4 </w:t>
      </w:r>
      <w:r>
        <w:rPr>
          <w:rFonts w:ascii="Times New Roman" w:cs="Times New Roman" w:eastAsia="Times New Roman" w:hAnsi="Times New Roman"/>
          <w:sz w:val="20"/>
          <w:szCs w:val="20"/>
          <w:u w:val="single" w:color="auto"/>
          <w:color w:val="auto"/>
        </w:rPr>
        <w:t>Conditions to Issuance of Shares</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jc w:val="both"/>
        <w:ind w:firstLine="1278"/>
        <w:spacing w:after="0" w:line="251" w:lineRule="auto"/>
        <w:tabs>
          <w:tab w:leader="none" w:pos="1935"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herein to the contrary, the Company shall not be required to issue or deliver any certificates or make any book entries evidencing Shares pursuant to the exercise of any Award, unless and until the Board or the Committee has determined, with advice of counsel, that the issuance of such Shares is in compliance with Applicable Law and the Shares are covered by an effective registration statement or applicable exemption from registration. In addition to the terms and conditions provided herein, the Board or the Committee may require that a Holder make such reasonable covenants, agreements, and representations as the Board or the Committee, in its discretion, deems advisable in order to comply with Applicable Law as a condition to the issuance or exercise of any Award.</w:t>
      </w:r>
    </w:p>
    <w:p>
      <w:pPr>
        <w:spacing w:after="0" w:line="111" w:lineRule="exact"/>
        <w:rPr>
          <w:rFonts w:ascii="Times New Roman" w:cs="Times New Roman" w:eastAsia="Times New Roman" w:hAnsi="Times New Roman"/>
          <w:sz w:val="20"/>
          <w:szCs w:val="20"/>
          <w:color w:val="auto"/>
        </w:rPr>
      </w:pPr>
    </w:p>
    <w:p>
      <w:pPr>
        <w:jc w:val="both"/>
        <w:ind w:firstLine="1278"/>
        <w:spacing w:after="0" w:line="268" w:lineRule="auto"/>
        <w:tabs>
          <w:tab w:leader="none" w:pos="1933"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Share certificates delivered pursuant to the Plan and all Shares issued pursuant to book entry procedures are subject to any stop-transfer orders and other restrictions as the Administrator deems necessary or advisable to comply with Applicable Law. The Administrator may place legends on any Share certificate or book entry to reference restrictions applicable to the Shares.</w:t>
      </w:r>
    </w:p>
    <w:p>
      <w:pPr>
        <w:spacing w:after="0" w:line="93" w:lineRule="exact"/>
        <w:rPr>
          <w:rFonts w:ascii="Times New Roman" w:cs="Times New Roman" w:eastAsia="Times New Roman" w:hAnsi="Times New Roman"/>
          <w:sz w:val="20"/>
          <w:szCs w:val="20"/>
          <w:color w:val="auto"/>
        </w:rPr>
      </w:pPr>
    </w:p>
    <w:p>
      <w:pPr>
        <w:jc w:val="both"/>
        <w:ind w:firstLine="1278"/>
        <w:spacing w:after="0" w:line="261" w:lineRule="auto"/>
        <w:tabs>
          <w:tab w:leader="none" w:pos="1935"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Administrator shall have the right to require any Holder to comply with any timing or other restrictions with respect to the settlement, distribution or exercise of any Award, including a window-period limitation, as may be imposed in the sole discretion of the Administrator.</w:t>
      </w:r>
    </w:p>
    <w:p>
      <w:pPr>
        <w:spacing w:after="0" w:line="100" w:lineRule="exact"/>
        <w:rPr>
          <w:rFonts w:ascii="Times New Roman" w:cs="Times New Roman" w:eastAsia="Times New Roman" w:hAnsi="Times New Roman"/>
          <w:sz w:val="20"/>
          <w:szCs w:val="20"/>
          <w:color w:val="auto"/>
        </w:rPr>
      </w:pPr>
    </w:p>
    <w:p>
      <w:pPr>
        <w:ind w:right="20" w:firstLine="1278"/>
        <w:spacing w:after="0" w:line="283" w:lineRule="auto"/>
        <w:tabs>
          <w:tab w:leader="none" w:pos="1933"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fractional Shares shall be issued and the Administrator shall determine, in its sole discretion, whether cash shall be given in lieu of fractional Shares or whether such fractional Shares shall be eliminated by rounding down.</w:t>
      </w:r>
    </w:p>
    <w:p>
      <w:pPr>
        <w:spacing w:after="0" w:line="78" w:lineRule="exact"/>
        <w:rPr>
          <w:rFonts w:ascii="Times New Roman" w:cs="Times New Roman" w:eastAsia="Times New Roman" w:hAnsi="Times New Roman"/>
          <w:sz w:val="20"/>
          <w:szCs w:val="20"/>
          <w:color w:val="auto"/>
        </w:rPr>
      </w:pPr>
    </w:p>
    <w:p>
      <w:pPr>
        <w:jc w:val="both"/>
        <w:ind w:firstLine="1278"/>
        <w:spacing w:after="0" w:line="261" w:lineRule="auto"/>
        <w:tabs>
          <w:tab w:leader="none" w:pos="1935"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other provision of the Plan, unless otherwise determined by the Administrator or required by Applicable Law, the Company shall not deliver to any Holder certificates evidencing Shares issued in connection with any Award and instead such Shares shall be recorded in the books of the Company (or, as applicable, its transfer agent or stock plan administrator).</w:t>
      </w:r>
    </w:p>
    <w:p>
      <w:pPr>
        <w:spacing w:after="0" w:line="114"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20"/>
          <w:szCs w:val="20"/>
          <w:color w:val="auto"/>
        </w:rPr>
        <w:t xml:space="preserve">10.5 </w:t>
      </w:r>
      <w:r>
        <w:rPr>
          <w:rFonts w:ascii="Times New Roman" w:cs="Times New Roman" w:eastAsia="Times New Roman" w:hAnsi="Times New Roman"/>
          <w:sz w:val="20"/>
          <w:szCs w:val="20"/>
          <w:u w:val="single" w:color="auto"/>
          <w:color w:val="auto"/>
        </w:rPr>
        <w:t>Forfeiture and Claw-Back Provisions</w:t>
      </w:r>
      <w:r>
        <w:rPr>
          <w:rFonts w:ascii="Times New Roman" w:cs="Times New Roman" w:eastAsia="Times New Roman" w:hAnsi="Times New Roman"/>
          <w:sz w:val="20"/>
          <w:szCs w:val="20"/>
          <w:color w:val="auto"/>
        </w:rPr>
        <w:t>. Pursuant to its general authority to determine the terms and conditions applicable to Awards under the Plan, the Administrator shall have the right to provide, in an Award Agreement or otherwise, or to require a Holder to agree by separate written or electronic instrument, that:</w:t>
      </w:r>
    </w:p>
    <w:p>
      <w:pPr>
        <w:spacing w:after="0" w:line="100" w:lineRule="exact"/>
        <w:rPr>
          <w:sz w:val="20"/>
          <w:szCs w:val="20"/>
          <w:color w:val="auto"/>
        </w:rPr>
      </w:pPr>
    </w:p>
    <w:p>
      <w:pPr>
        <w:jc w:val="both"/>
        <w:ind w:firstLine="1278"/>
        <w:spacing w:after="0" w:line="258" w:lineRule="auto"/>
        <w:tabs>
          <w:tab w:leader="none" w:pos="1935"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proceeds, gains or other economic benefit actually or constructively received by the Holder upon any receipt or exercise of the Award, or upon the receipt or resale of any Shares underlying the Award, must be paid to the Company, and (ii) the Award shall terminate and any unexercised portion of the Award (whether or not vested) shall be forfeited, if (x) a Termination of Service occurs prior to a specified date, or within a specified time period</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981" w:right="339" w:bottom="1440" w:gutter="0" w:footer="0" w:header="0"/>
        </w:sectPr>
      </w:pPr>
    </w:p>
    <w:bookmarkStart w:id="24" w:name="page25"/>
    <w:bookmarkEnd w:id="24"/>
    <w:p>
      <w:pPr>
        <w:jc w:val="both"/>
        <w:spacing w:after="0" w:line="261" w:lineRule="auto"/>
        <w:rPr>
          <w:sz w:val="20"/>
          <w:szCs w:val="20"/>
          <w:color w:val="auto"/>
        </w:rPr>
      </w:pPr>
      <w:r>
        <w:rPr>
          <w:rFonts w:ascii="Times New Roman" w:cs="Times New Roman" w:eastAsia="Times New Roman" w:hAnsi="Times New Roman"/>
          <w:sz w:val="20"/>
          <w:szCs w:val="20"/>
          <w:color w:val="auto"/>
        </w:rPr>
        <w:t>following receipt or exercise of the Award, or (y) the Holder at any time, or during a specified time period, engages in any activity in competition with the Company, or which is inimical, contrary or harmful to the interests of the Company, as further defined by the Administrator or (z) the Holder incurs a Termination of Service for Misconduct; and</w:t>
      </w:r>
    </w:p>
    <w:p>
      <w:pPr>
        <w:spacing w:after="0" w:line="100" w:lineRule="exact"/>
        <w:rPr>
          <w:sz w:val="20"/>
          <w:szCs w:val="20"/>
          <w:color w:val="auto"/>
        </w:rPr>
      </w:pPr>
    </w:p>
    <w:p>
      <w:pPr>
        <w:jc w:val="both"/>
        <w:ind w:firstLine="1278"/>
        <w:spacing w:after="0" w:line="257" w:lineRule="auto"/>
        <w:tabs>
          <w:tab w:leader="none" w:pos="1933"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Awards (including any proceeds, gains or other economic benefit actually or constructively received by the Holder upon any receipt or exercise of any Award or upon the receipt or resale of any Shares underlying the Award) shall be subject to the provisions of any claw-back policy implemented by the Company, including, without limitation, any claw-back policy adopted to comply with the requirements of the Dodd-Frank Wall Street Reform and Consumer Protection Act and any rules or regulations promulgated thereunder, to the extent set forth in such claw-back policy and/or in the applicable Award Agreement.</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11.</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ADMINISTRATION</w:t>
      </w:r>
    </w:p>
    <w:p>
      <w:pPr>
        <w:spacing w:after="0" w:line="148" w:lineRule="exact"/>
        <w:rPr>
          <w:sz w:val="20"/>
          <w:szCs w:val="20"/>
          <w:color w:val="auto"/>
        </w:rPr>
      </w:pPr>
    </w:p>
    <w:p>
      <w:pPr>
        <w:ind w:right="20" w:firstLine="648"/>
        <w:spacing w:after="0" w:line="264" w:lineRule="auto"/>
        <w:rPr>
          <w:sz w:val="20"/>
          <w:szCs w:val="20"/>
          <w:color w:val="auto"/>
        </w:rPr>
      </w:pPr>
      <w:r>
        <w:rPr>
          <w:rFonts w:ascii="Times New Roman" w:cs="Times New Roman" w:eastAsia="Times New Roman" w:hAnsi="Times New Roman"/>
          <w:sz w:val="19"/>
          <w:szCs w:val="19"/>
          <w:color w:val="auto"/>
        </w:rPr>
        <w:t xml:space="preserve">11.1 </w:t>
      </w:r>
      <w:r>
        <w:rPr>
          <w:rFonts w:ascii="Times New Roman" w:cs="Times New Roman" w:eastAsia="Times New Roman" w:hAnsi="Times New Roman"/>
          <w:sz w:val="19"/>
          <w:szCs w:val="19"/>
          <w:u w:val="single" w:color="auto"/>
          <w:color w:val="auto"/>
        </w:rPr>
        <w:t>Administrator</w:t>
      </w:r>
      <w:r>
        <w:rPr>
          <w:rFonts w:ascii="Times New Roman" w:cs="Times New Roman" w:eastAsia="Times New Roman" w:hAnsi="Times New Roman"/>
          <w:sz w:val="19"/>
          <w:szCs w:val="19"/>
          <w:color w:val="auto"/>
        </w:rPr>
        <w:t xml:space="preserve">. The Committee (or another committee or a subcommittee of the Board assuming the functions of the Committee under the Plan) shall administer the Plan (except as otherwise permitted herein) and, unless otherwise determined by the Board, shall consist solely of two or more Non-Employee Directors appointed by and holding office at the pleasure of the Board, each of whom is intended to qualify as both a “non-employee director” as defined by Rule 16b-3 of the Exchange Act or any successor rule, and an “independent director” under the rules of any securities exchange or automated quotation system on which the Shares are listed, quoted or traded;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action taken by the Committee shall be valid and effective, whether or not members of the Committee at the time of such action are later determined not to have satisfied the requirements for membership set forth in this Section 11.l or otherwise provided in any charter of the Committee. Except as may otherwise be provided in any charter of the Committee, appointment of Committee members shall be effective upon acceptance of appointment. Committee members may resign at any time by delivering written or electronic notice to the Board. Vacancies in the Committee may only be filled by the Board. Notwithstanding the foregoing, (a) the full Board, acting by a majority of its members in office, shall conduct the general administration of the Plan with respect to Awards granted to Non-Employee Directors and, if the Committee does not consist solely of two or more Non-Employee Directors, Awards granted to officers, as defined in Rule 16a-1 of the Exchange Act, and, with respect to such Awards, the terms “Administrator” and “Committee” as used in the Plan shall be deemed to refer to the Board and (b) the Board or Committee may delegate its authority hereunder to the extent permitted by Section 11.6.</w:t>
      </w:r>
    </w:p>
    <w:p>
      <w:pPr>
        <w:spacing w:after="0" w:line="105"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11.2 </w:t>
      </w:r>
      <w:r>
        <w:rPr>
          <w:rFonts w:ascii="Times New Roman" w:cs="Times New Roman" w:eastAsia="Times New Roman" w:hAnsi="Times New Roman"/>
          <w:sz w:val="20"/>
          <w:szCs w:val="20"/>
          <w:u w:val="single" w:color="auto"/>
          <w:color w:val="auto"/>
        </w:rPr>
        <w:t>Duties and Powers of Committee</w:t>
      </w:r>
      <w:r>
        <w:rPr>
          <w:rFonts w:ascii="Times New Roman" w:cs="Times New Roman" w:eastAsia="Times New Roman" w:hAnsi="Times New Roman"/>
          <w:sz w:val="20"/>
          <w:szCs w:val="20"/>
          <w:color w:val="auto"/>
        </w:rPr>
        <w:t xml:space="preserve">. It shall be the duty of the Committee to conduct the general administration of the Plan in accordance with its provisions. The Committee shall have the power to interpret the Plan and the Award Agreement, and to adopt such rules for the administration, interpretation and application of the Plan as are not inconsistent therewith, to interpret, amend or revoke any such rules and to amend any Award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rights or obligations of the Holder of the Award that is the subject of any such Award Agreement are not affected adversely by such amendment, unless the consent of the Holder is obtained or such amendment is otherwise permitted under Section 12.10. Any such grant or award under the Plan need not be the same with respect to each Holder. Any such interpretations and rules with respect to Incentive Stock Options shall be consistent with the provisions of Section 422 of the Code. In its sole discretion, the Board may at any time and from time to time exercise any and all rights and duties of the Committee under the Plan except with respect to matters which under Rule 16b-3 under the Exchange Act or any successor rule, or any regulations or rules issued thereunder, or the rules of any securities exchange or automated quotation system on which the Shares are listed, quoted or traded are required to be determined in the sole discretion of the Committee.</w:t>
      </w:r>
    </w:p>
    <w:p>
      <w:pPr>
        <w:spacing w:after="0" w:line="11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0"/>
          <w:szCs w:val="20"/>
          <w:color w:val="auto"/>
        </w:rPr>
        <w:t xml:space="preserve">11.3 </w:t>
      </w:r>
      <w:r>
        <w:rPr>
          <w:rFonts w:ascii="Times New Roman" w:cs="Times New Roman" w:eastAsia="Times New Roman" w:hAnsi="Times New Roman"/>
          <w:sz w:val="20"/>
          <w:szCs w:val="20"/>
          <w:u w:val="single" w:color="auto"/>
          <w:color w:val="auto"/>
        </w:rPr>
        <w:t>Action by the Committee</w:t>
      </w:r>
      <w:r>
        <w:rPr>
          <w:rFonts w:ascii="Times New Roman" w:cs="Times New Roman" w:eastAsia="Times New Roman" w:hAnsi="Times New Roman"/>
          <w:sz w:val="20"/>
          <w:szCs w:val="20"/>
          <w:color w:val="auto"/>
        </w:rPr>
        <w:t>. Unless otherwise established by the Board or in any charter of the Committee, a majority of the Committee shall constitute a quorum and the acts of a majority of the members present at any meeting at which a quorum is present, and acts approved in writing by all members of the Committee in lieu of a meeting, shall be deemed the acts of the Committee. Each member of the Committee is entitled to, in good faith, rely or act upon any report or other information furnished to that member by any officer or other employee of the Company or any Subsidiary, the Company’s independent certified public accountants, or any executive compensation consultant or other professional retained by the Company to assist in the administration of the Plan.</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981" w:right="339" w:bottom="1440" w:gutter="0" w:footer="0" w:header="0"/>
        </w:sectPr>
      </w:pPr>
    </w:p>
    <w:bookmarkStart w:id="25" w:name="page26"/>
    <w:bookmarkEnd w:id="25"/>
    <w:p>
      <w:pPr>
        <w:ind w:left="660"/>
        <w:spacing w:after="0"/>
        <w:rPr>
          <w:sz w:val="20"/>
          <w:szCs w:val="20"/>
          <w:color w:val="auto"/>
        </w:rPr>
      </w:pPr>
      <w:r>
        <w:rPr>
          <w:rFonts w:ascii="Times New Roman" w:cs="Times New Roman" w:eastAsia="Times New Roman" w:hAnsi="Times New Roman"/>
          <w:sz w:val="20"/>
          <w:szCs w:val="20"/>
          <w:color w:val="auto"/>
        </w:rPr>
        <w:t xml:space="preserve">11.4 </w:t>
      </w:r>
      <w:r>
        <w:rPr>
          <w:rFonts w:ascii="Times New Roman" w:cs="Times New Roman" w:eastAsia="Times New Roman" w:hAnsi="Times New Roman"/>
          <w:sz w:val="20"/>
          <w:szCs w:val="20"/>
          <w:u w:val="single" w:color="auto"/>
          <w:color w:val="auto"/>
        </w:rPr>
        <w:t>Authority of Administrator</w:t>
      </w:r>
      <w:r>
        <w:rPr>
          <w:rFonts w:ascii="Times New Roman" w:cs="Times New Roman" w:eastAsia="Times New Roman" w:hAnsi="Times New Roman"/>
          <w:sz w:val="20"/>
          <w:szCs w:val="20"/>
          <w:color w:val="auto"/>
        </w:rPr>
        <w:t>. Subject to the Company’s Bylaws, the Committee’s Charter and any specific designation in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Plan, the Administrator has the exclusive power, authority and sole discretion to:</w:t>
      </w:r>
    </w:p>
    <w:p>
      <w:pPr>
        <w:spacing w:after="0" w:line="133" w:lineRule="exact"/>
        <w:rPr>
          <w:sz w:val="20"/>
          <w:szCs w:val="20"/>
          <w:color w:val="auto"/>
        </w:rPr>
      </w:pPr>
    </w:p>
    <w:p>
      <w:pPr>
        <w:ind w:left="1940" w:hanging="662"/>
        <w:spacing w:after="0"/>
        <w:tabs>
          <w:tab w:leader="none" w:pos="19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Designate Eligible Individuals to receive Awards;</w:t>
      </w:r>
    </w:p>
    <w:p>
      <w:pPr>
        <w:spacing w:after="0" w:line="148" w:lineRule="exact"/>
        <w:rPr>
          <w:rFonts w:ascii="Times New Roman" w:cs="Times New Roman" w:eastAsia="Times New Roman" w:hAnsi="Times New Roman"/>
          <w:sz w:val="20"/>
          <w:szCs w:val="20"/>
          <w:color w:val="auto"/>
        </w:rPr>
      </w:pPr>
    </w:p>
    <w:p>
      <w:pPr>
        <w:ind w:left="1940" w:hanging="662"/>
        <w:spacing w:after="0"/>
        <w:tabs>
          <w:tab w:leader="none" w:pos="19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the type or types of Awards to be granted to Eligible Individuals;</w:t>
      </w:r>
    </w:p>
    <w:p>
      <w:pPr>
        <w:spacing w:after="0" w:line="148" w:lineRule="exact"/>
        <w:rPr>
          <w:rFonts w:ascii="Times New Roman" w:cs="Times New Roman" w:eastAsia="Times New Roman" w:hAnsi="Times New Roman"/>
          <w:sz w:val="20"/>
          <w:szCs w:val="20"/>
          <w:color w:val="auto"/>
        </w:rPr>
      </w:pPr>
    </w:p>
    <w:p>
      <w:pPr>
        <w:ind w:left="1940" w:hanging="662"/>
        <w:spacing w:after="0"/>
        <w:tabs>
          <w:tab w:leader="none" w:pos="19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the number of Awards to be granted and the number of Shares to which an Award will relate;</w:t>
      </w:r>
    </w:p>
    <w:p>
      <w:pPr>
        <w:spacing w:after="0" w:line="161" w:lineRule="exact"/>
        <w:rPr>
          <w:rFonts w:ascii="Times New Roman" w:cs="Times New Roman" w:eastAsia="Times New Roman" w:hAnsi="Times New Roman"/>
          <w:sz w:val="20"/>
          <w:szCs w:val="20"/>
          <w:color w:val="auto"/>
        </w:rPr>
      </w:pPr>
    </w:p>
    <w:p>
      <w:pPr>
        <w:jc w:val="both"/>
        <w:ind w:firstLine="1278"/>
        <w:spacing w:after="0" w:line="253" w:lineRule="auto"/>
        <w:tabs>
          <w:tab w:leader="none" w:pos="1933"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the terms and conditions of any Award granted pursuant to the Plan, including, but not limited to, the exercise price, grant price, or purchase price, any Performance Criteria, any restrictions or limitations on the Award, any schedule for vesting, lapse of forfeiture restrictions or restrictions on the exercisability of an Award, and accelerations or waivers thereof, and any provisions related to non-competition and recapture of gain on an Award, based in each case on such considerations as the Administrator in its sole discretion determines;</w:t>
      </w:r>
    </w:p>
    <w:p>
      <w:pPr>
        <w:spacing w:after="0" w:line="110" w:lineRule="exact"/>
        <w:rPr>
          <w:rFonts w:ascii="Times New Roman" w:cs="Times New Roman" w:eastAsia="Times New Roman" w:hAnsi="Times New Roman"/>
          <w:sz w:val="20"/>
          <w:szCs w:val="20"/>
          <w:color w:val="auto"/>
        </w:rPr>
      </w:pPr>
    </w:p>
    <w:p>
      <w:pPr>
        <w:ind w:right="20" w:firstLine="1278"/>
        <w:spacing w:after="0" w:line="283" w:lineRule="auto"/>
        <w:tabs>
          <w:tab w:leader="none" w:pos="1935"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whether, to what extent, and pursuant to what circumstances an Award may be settled in, or the exercise price of an Award may be paid in cash, Shares, other Awards, or other property, or an Award may be canceled, forfeited, or surrendered;</w:t>
      </w:r>
    </w:p>
    <w:p>
      <w:pPr>
        <w:spacing w:after="0" w:line="78" w:lineRule="exact"/>
        <w:rPr>
          <w:rFonts w:ascii="Times New Roman" w:cs="Times New Roman" w:eastAsia="Times New Roman" w:hAnsi="Times New Roman"/>
          <w:sz w:val="20"/>
          <w:szCs w:val="20"/>
          <w:color w:val="auto"/>
        </w:rPr>
      </w:pPr>
    </w:p>
    <w:p>
      <w:pPr>
        <w:ind w:left="1940" w:hanging="662"/>
        <w:spacing w:after="0"/>
        <w:tabs>
          <w:tab w:leader="none" w:pos="19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to adjust or waive any criteria with respect to Performance Criteria;</w:t>
      </w:r>
    </w:p>
    <w:p>
      <w:pPr>
        <w:spacing w:after="0" w:line="148" w:lineRule="exact"/>
        <w:rPr>
          <w:rFonts w:ascii="Times New Roman" w:cs="Times New Roman" w:eastAsia="Times New Roman" w:hAnsi="Times New Roman"/>
          <w:sz w:val="20"/>
          <w:szCs w:val="20"/>
          <w:color w:val="auto"/>
        </w:rPr>
      </w:pPr>
    </w:p>
    <w:p>
      <w:pPr>
        <w:ind w:left="1940" w:hanging="662"/>
        <w:spacing w:after="0"/>
        <w:tabs>
          <w:tab w:leader="none" w:pos="19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Prescribe the form of each Award Agreement, which need not be identical for each Holder;</w:t>
      </w:r>
    </w:p>
    <w:p>
      <w:pPr>
        <w:spacing w:after="0" w:line="161" w:lineRule="exact"/>
        <w:rPr>
          <w:rFonts w:ascii="Times New Roman" w:cs="Times New Roman" w:eastAsia="Times New Roman" w:hAnsi="Times New Roman"/>
          <w:sz w:val="20"/>
          <w:szCs w:val="20"/>
          <w:color w:val="auto"/>
        </w:rPr>
      </w:pPr>
    </w:p>
    <w:p>
      <w:pPr>
        <w:ind w:left="1940" w:hanging="662"/>
        <w:spacing w:after="0"/>
        <w:tabs>
          <w:tab w:leader="none" w:pos="19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the Fair Market Value in good faith, if necessary;</w:t>
      </w:r>
    </w:p>
    <w:p>
      <w:pPr>
        <w:spacing w:after="0" w:line="148" w:lineRule="exact"/>
        <w:rPr>
          <w:rFonts w:ascii="Times New Roman" w:cs="Times New Roman" w:eastAsia="Times New Roman" w:hAnsi="Times New Roman"/>
          <w:sz w:val="20"/>
          <w:szCs w:val="20"/>
          <w:color w:val="auto"/>
        </w:rPr>
      </w:pPr>
    </w:p>
    <w:p>
      <w:pPr>
        <w:ind w:left="1960" w:hanging="682"/>
        <w:spacing w:after="0"/>
        <w:tabs>
          <w:tab w:leader="none" w:pos="19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Grant waivers of Plan or Award conditions;</w:t>
      </w:r>
    </w:p>
    <w:p>
      <w:pPr>
        <w:spacing w:after="0" w:line="148" w:lineRule="exact"/>
        <w:rPr>
          <w:rFonts w:ascii="Times New Roman" w:cs="Times New Roman" w:eastAsia="Times New Roman" w:hAnsi="Times New Roman"/>
          <w:sz w:val="20"/>
          <w:szCs w:val="20"/>
          <w:color w:val="auto"/>
        </w:rPr>
      </w:pPr>
    </w:p>
    <w:p>
      <w:pPr>
        <w:ind w:left="1960" w:hanging="682"/>
        <w:spacing w:after="0"/>
        <w:tabs>
          <w:tab w:leader="none" w:pos="19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Correct any defect, supply any omission or reconcile any inconsistency in this Plan, any Award or any Award</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Agreement;</w:t>
      </w:r>
    </w:p>
    <w:p>
      <w:pPr>
        <w:spacing w:after="0" w:line="132" w:lineRule="exact"/>
        <w:rPr>
          <w:rFonts w:ascii="Times New Roman" w:cs="Times New Roman" w:eastAsia="Times New Roman" w:hAnsi="Times New Roman"/>
          <w:sz w:val="20"/>
          <w:szCs w:val="20"/>
          <w:color w:val="auto"/>
        </w:rPr>
      </w:pPr>
    </w:p>
    <w:p>
      <w:pPr>
        <w:ind w:left="1940" w:hanging="662"/>
        <w:spacing w:after="0"/>
        <w:tabs>
          <w:tab w:leader="none" w:pos="19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whether an Award has been earned and whether any Performance Criteria has been attained;</w:t>
      </w:r>
    </w:p>
    <w:p>
      <w:pPr>
        <w:spacing w:after="0" w:line="148" w:lineRule="exact"/>
        <w:rPr>
          <w:rFonts w:ascii="Times New Roman" w:cs="Times New Roman" w:eastAsia="Times New Roman" w:hAnsi="Times New Roman"/>
          <w:sz w:val="20"/>
          <w:szCs w:val="20"/>
          <w:color w:val="auto"/>
        </w:rPr>
      </w:pPr>
    </w:p>
    <w:p>
      <w:pPr>
        <w:ind w:left="1960" w:hanging="682"/>
        <w:spacing w:after="0"/>
        <w:tabs>
          <w:tab w:leader="none" w:pos="19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Decide all other matters that must be determined in connection with an Award;</w:t>
      </w:r>
    </w:p>
    <w:p>
      <w:pPr>
        <w:spacing w:after="0" w:line="148" w:lineRule="exact"/>
        <w:rPr>
          <w:rFonts w:ascii="Times New Roman" w:cs="Times New Roman" w:eastAsia="Times New Roman" w:hAnsi="Times New Roman"/>
          <w:sz w:val="20"/>
          <w:szCs w:val="20"/>
          <w:color w:val="auto"/>
        </w:rPr>
      </w:pPr>
    </w:p>
    <w:p>
      <w:pPr>
        <w:ind w:left="1940" w:hanging="662"/>
        <w:spacing w:after="0"/>
        <w:tabs>
          <w:tab w:leader="none" w:pos="19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 adopt, or revise any rules and regulations as it may deem necessary or advisable to administer the Plan;</w:t>
      </w:r>
    </w:p>
    <w:p>
      <w:pPr>
        <w:spacing w:after="0" w:line="161" w:lineRule="exact"/>
        <w:rPr>
          <w:rFonts w:ascii="Times New Roman" w:cs="Times New Roman" w:eastAsia="Times New Roman" w:hAnsi="Times New Roman"/>
          <w:sz w:val="20"/>
          <w:szCs w:val="20"/>
          <w:color w:val="auto"/>
        </w:rPr>
      </w:pPr>
    </w:p>
    <w:p>
      <w:pPr>
        <w:ind w:left="1940" w:hanging="662"/>
        <w:spacing w:after="0"/>
        <w:tabs>
          <w:tab w:leader="none" w:pos="19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Interpret the terms of, and any matter arising pursuant to, the Plan or any Award Agreement;</w:t>
      </w:r>
    </w:p>
    <w:p>
      <w:pPr>
        <w:spacing w:after="0" w:line="148" w:lineRule="exact"/>
        <w:rPr>
          <w:rFonts w:ascii="Times New Roman" w:cs="Times New Roman" w:eastAsia="Times New Roman" w:hAnsi="Times New Roman"/>
          <w:sz w:val="20"/>
          <w:szCs w:val="20"/>
          <w:color w:val="auto"/>
        </w:rPr>
      </w:pPr>
    </w:p>
    <w:p>
      <w:pPr>
        <w:ind w:firstLine="1278"/>
        <w:spacing w:after="0" w:line="283" w:lineRule="auto"/>
        <w:tabs>
          <w:tab w:leader="none" w:pos="1933"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all other decisions and determinations that may be required pursuant to the Plan or as the Administrator deems necessary or advisable to administer the Plan; and</w:t>
      </w:r>
    </w:p>
    <w:p>
      <w:pPr>
        <w:spacing w:after="0" w:line="78" w:lineRule="exact"/>
        <w:rPr>
          <w:rFonts w:ascii="Times New Roman" w:cs="Times New Roman" w:eastAsia="Times New Roman" w:hAnsi="Times New Roman"/>
          <w:sz w:val="20"/>
          <w:szCs w:val="20"/>
          <w:color w:val="auto"/>
        </w:rPr>
      </w:pPr>
    </w:p>
    <w:p>
      <w:pPr>
        <w:ind w:firstLine="1278"/>
        <w:spacing w:after="0" w:line="269" w:lineRule="auto"/>
        <w:tabs>
          <w:tab w:leader="none" w:pos="1933"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Accelerate wholly or partially the vesting or lapse of restrictions of any Award or portion thereof at any time after the grant of an Award, subject to whatever terms and conditions it selects and Sections 3.4 and 12.2(c).</w:t>
      </w:r>
    </w:p>
    <w:p>
      <w:pPr>
        <w:spacing w:after="0" w:line="105"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19"/>
          <w:szCs w:val="19"/>
          <w:color w:val="auto"/>
        </w:rPr>
        <w:t xml:space="preserve">11.5 </w:t>
      </w:r>
      <w:r>
        <w:rPr>
          <w:rFonts w:ascii="Times New Roman" w:cs="Times New Roman" w:eastAsia="Times New Roman" w:hAnsi="Times New Roman"/>
          <w:sz w:val="19"/>
          <w:szCs w:val="19"/>
          <w:u w:val="single" w:color="auto"/>
          <w:color w:val="auto"/>
        </w:rPr>
        <w:t>Decisions Binding</w:t>
      </w:r>
      <w:r>
        <w:rPr>
          <w:rFonts w:ascii="Times New Roman" w:cs="Times New Roman" w:eastAsia="Times New Roman" w:hAnsi="Times New Roman"/>
          <w:sz w:val="19"/>
          <w:szCs w:val="19"/>
          <w:color w:val="auto"/>
        </w:rPr>
        <w:t>. The Administrator’s interpretation of the Plan, any Awards granted pursuant to the Plan and any Award Agreement and all decisions and determinations by the Administrator with respect to the Plan are final, binding, and conclusive on all parties. Any dispute regarding the interpretation of the Plan or any Award Agreement shall be submitted by the Participant or Company to the Committee for review. The resolution of such a dispute by the Committee shall be final and binding on the Company and the Participant.</w:t>
      </w:r>
    </w:p>
    <w:p>
      <w:pPr>
        <w:spacing w:after="0" w:line="107"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20"/>
          <w:szCs w:val="20"/>
          <w:color w:val="auto"/>
        </w:rPr>
        <w:t xml:space="preserve">11.6 </w:t>
      </w:r>
      <w:r>
        <w:rPr>
          <w:rFonts w:ascii="Times New Roman" w:cs="Times New Roman" w:eastAsia="Times New Roman" w:hAnsi="Times New Roman"/>
          <w:sz w:val="20"/>
          <w:szCs w:val="20"/>
          <w:u w:val="single" w:color="auto"/>
          <w:color w:val="auto"/>
        </w:rPr>
        <w:t>Delegation of Authority</w:t>
      </w:r>
      <w:r>
        <w:rPr>
          <w:rFonts w:ascii="Times New Roman" w:cs="Times New Roman" w:eastAsia="Times New Roman" w:hAnsi="Times New Roman"/>
          <w:sz w:val="20"/>
          <w:szCs w:val="20"/>
          <w:color w:val="auto"/>
        </w:rPr>
        <w:t xml:space="preserve">. To the extent permitted by Applicable Law, the Board or Committee may from time to time delegate to a committee of one or more members of the Board or one or more officers of the Company the authority to grant or amend Awards or to take other administrative actions pursuant to this Article 11;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in no event shall an officer of the Company be delegated the authority to grant awards to, or amend awards held by, the following individuals: (a) individuals who are subject to Section 16 of the Exchange Act or (b) officers of the Company (or Directors) to whom authority to grant or amend Awards has been delegated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any delegation of administrative authority shall only be permitted to the extent it is permissible under Applicable Law. Any delegation hereunder shall be subject to the restrictions and limits that the Board or Committee specifies at the</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981" w:right="339" w:bottom="1440" w:gutter="0" w:footer="0" w:header="0"/>
        </w:sectPr>
      </w:pPr>
    </w:p>
    <w:bookmarkStart w:id="26" w:name="page27"/>
    <w:bookmarkEnd w:id="26"/>
    <w:p>
      <w:pPr>
        <w:ind w:right="620"/>
        <w:spacing w:after="0" w:line="283" w:lineRule="auto"/>
        <w:rPr>
          <w:sz w:val="20"/>
          <w:szCs w:val="20"/>
          <w:color w:val="auto"/>
        </w:rPr>
      </w:pPr>
      <w:r>
        <w:rPr>
          <w:rFonts w:ascii="Times New Roman" w:cs="Times New Roman" w:eastAsia="Times New Roman" w:hAnsi="Times New Roman"/>
          <w:sz w:val="20"/>
          <w:szCs w:val="20"/>
          <w:color w:val="auto"/>
        </w:rPr>
        <w:t>time of such delegation, and the Board may at any time rescind the authority so delegated or appoint a new delegatee. At all times, the delegatee appointed under this Section 11.6 shall serve in such capacity at the pleasure of the Board and the Committee.</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12.</w:t>
      </w:r>
    </w:p>
    <w:p>
      <w:pPr>
        <w:spacing w:after="0" w:line="14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MISCELLANEOUS PROVISIONS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12.1 </w:t>
      </w:r>
      <w:r>
        <w:rPr>
          <w:rFonts w:ascii="Times New Roman" w:cs="Times New Roman" w:eastAsia="Times New Roman" w:hAnsi="Times New Roman"/>
          <w:sz w:val="20"/>
          <w:szCs w:val="20"/>
          <w:u w:val="single" w:color="auto"/>
          <w:color w:val="auto"/>
        </w:rPr>
        <w:t>Amendment, Suspension or Termination of the Plan</w:t>
      </w:r>
      <w:r>
        <w:rPr>
          <w:rFonts w:ascii="Times New Roman" w:cs="Times New Roman" w:eastAsia="Times New Roman" w:hAnsi="Times New Roman"/>
          <w:sz w:val="20"/>
          <w:szCs w:val="20"/>
          <w:color w:val="auto"/>
        </w:rPr>
        <w:t>.</w:t>
      </w:r>
    </w:p>
    <w:p>
      <w:pPr>
        <w:spacing w:after="0" w:line="148" w:lineRule="exact"/>
        <w:rPr>
          <w:sz w:val="20"/>
          <w:szCs w:val="20"/>
          <w:color w:val="auto"/>
        </w:rPr>
      </w:pPr>
    </w:p>
    <w:p>
      <w:pPr>
        <w:jc w:val="both"/>
        <w:ind w:firstLine="1278"/>
        <w:spacing w:after="0" w:line="269" w:lineRule="auto"/>
        <w:tabs>
          <w:tab w:leader="none" w:pos="1935"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otherwise provided in this Section 12.1, the Plan may be wholly or partially amended or otherwise modified, suspended or terminated at any time or from time to time by the Board or the Committee. However, without approval of the Company’s stockholders given within twelve (12) months before or after the action by the Administrator, no action of the Administrator may, except as provided in Section 12.2, increase the limits imposed in Section 3.1 on the maximum number of Shares which may be issued under the Plan. Except as provided in Section 12.10, no amendment, suspension or termination of the Plan shall, without the consent of the Holder, impair any rights or obligations under any Award theretofore granted or awarded, unless the Award itself otherwise expressly so provides.</w:t>
      </w:r>
    </w:p>
    <w:p>
      <w:pPr>
        <w:spacing w:after="0" w:line="96" w:lineRule="exact"/>
        <w:rPr>
          <w:rFonts w:ascii="Times New Roman" w:cs="Times New Roman" w:eastAsia="Times New Roman" w:hAnsi="Times New Roman"/>
          <w:sz w:val="19"/>
          <w:szCs w:val="19"/>
          <w:color w:val="auto"/>
        </w:rPr>
      </w:pPr>
    </w:p>
    <w:p>
      <w:pPr>
        <w:jc w:val="both"/>
        <w:ind w:firstLine="1278"/>
        <w:spacing w:after="0" w:line="268" w:lineRule="auto"/>
        <w:tabs>
          <w:tab w:leader="none" w:pos="1933"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or the Committee may, without stockholder approval, (i) amend any Award to reduce the per share exercise price of such an Award below the per share exercise price as of the date the Award is granted and (ii) grant an Award in exchange for, or in connection with, the cancellation or surrender of an Award having a higher per share exercise price.</w:t>
      </w:r>
    </w:p>
    <w:p>
      <w:pPr>
        <w:spacing w:after="0" w:line="93" w:lineRule="exact"/>
        <w:rPr>
          <w:rFonts w:ascii="Times New Roman" w:cs="Times New Roman" w:eastAsia="Times New Roman" w:hAnsi="Times New Roman"/>
          <w:sz w:val="20"/>
          <w:szCs w:val="20"/>
          <w:color w:val="auto"/>
        </w:rPr>
      </w:pPr>
    </w:p>
    <w:p>
      <w:pPr>
        <w:jc w:val="both"/>
        <w:ind w:firstLine="1278"/>
        <w:spacing w:after="0" w:line="258" w:lineRule="auto"/>
        <w:tabs>
          <w:tab w:leader="none" w:pos="1935"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Awards may be granted or awarded during any period of suspension or after termination of the Plan, and in no event may any Award be granted under the Plan after the tenth (10th) anniversary of the date this Plan is approved by the Board (the “Expiration Date”). Any Awards that are outstanding on the Expiration Date shall remain in force according to the terms of the Plan and the applicable Award Agreement.</w:t>
      </w:r>
    </w:p>
    <w:p>
      <w:pPr>
        <w:spacing w:after="0" w:line="1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 xml:space="preserve">12.2 </w:t>
      </w:r>
      <w:r>
        <w:rPr>
          <w:rFonts w:ascii="Times New Roman" w:cs="Times New Roman" w:eastAsia="Times New Roman" w:hAnsi="Times New Roman"/>
          <w:sz w:val="19"/>
          <w:szCs w:val="19"/>
          <w:u w:val="single" w:color="auto"/>
          <w:color w:val="auto"/>
        </w:rPr>
        <w:t>Changes in Common Stock or Assets of the Company, Acquisition or Liquidation of the Company and Other Corporate Events</w:t>
      </w:r>
      <w:r>
        <w:rPr>
          <w:rFonts w:ascii="Times New Roman" w:cs="Times New Roman" w:eastAsia="Times New Roman" w:hAnsi="Times New Roman"/>
          <w:sz w:val="19"/>
          <w:szCs w:val="19"/>
          <w:color w:val="auto"/>
        </w:rPr>
        <w:t>.</w:t>
      </w:r>
    </w:p>
    <w:p>
      <w:pPr>
        <w:spacing w:after="0" w:line="160" w:lineRule="exact"/>
        <w:rPr>
          <w:sz w:val="20"/>
          <w:szCs w:val="20"/>
          <w:color w:val="auto"/>
        </w:rPr>
      </w:pPr>
    </w:p>
    <w:p>
      <w:pPr>
        <w:jc w:val="both"/>
        <w:ind w:firstLine="1278"/>
        <w:spacing w:after="0" w:line="264" w:lineRule="auto"/>
        <w:tabs>
          <w:tab w:leader="none" w:pos="1935" w:val="left"/>
        </w:tabs>
        <w:numPr>
          <w:ilvl w:val="1"/>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of any stock dividend, stock split, subdivision, combination or exchange of shares, merger, consolidation, distribution (other than normal cash dividends) of Company assets to stockholders, reclassification, recapitalization, or any other change affecting the Shares of the Company’s stock or the share price of the Company’s stock, the Administrator shall make equitable adjustments, if any, to reflect such change with respect to (i) the aggregate number and kind of Shares that may be issued under the Plan (including, but not limited to, adjustments of the limitations in Section 3.1 on the maximum number and kind of Shares which may be issued under the Plan); (ii) the number and kind of Shares (or other securities or property) subject to outstanding Awards; (iii) the terms and conditions of any outstanding Awards (including, without limitation, any applicable performance targets or criteria with respect thereto); and</w:t>
      </w:r>
    </w:p>
    <w:p>
      <w:pPr>
        <w:ind w:left="340" w:hanging="332"/>
        <w:spacing w:after="0"/>
        <w:tabs>
          <w:tab w:leader="none" w:pos="34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 or exercise price per share for any outstanding Awards under the Plan.</w:t>
      </w:r>
    </w:p>
    <w:p>
      <w:pPr>
        <w:spacing w:after="0" w:line="139" w:lineRule="exact"/>
        <w:rPr>
          <w:rFonts w:ascii="Times New Roman" w:cs="Times New Roman" w:eastAsia="Times New Roman" w:hAnsi="Times New Roman"/>
          <w:sz w:val="20"/>
          <w:szCs w:val="20"/>
          <w:color w:val="auto"/>
        </w:rPr>
      </w:pPr>
    </w:p>
    <w:p>
      <w:pPr>
        <w:jc w:val="both"/>
        <w:ind w:firstLine="1278"/>
        <w:spacing w:after="0" w:line="251" w:lineRule="auto"/>
        <w:tabs>
          <w:tab w:leader="none" w:pos="1933"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any transaction or event described in Section 12.2(a) or any unusual or nonrecurring transactions or events affecting the Company, any Subsidiary of the Company, or the financial statements of the Company or any Subsidiary, or of changes in Applicable Law or accounting principles, including, without limitation, a Change in Control, the Administrator, in its sole discretion, and on such terms and conditions as it deems appropriate, either by the terms of the Award or by action taken prior to the occurrence of such transaction or event and either automatically or upon the Holder’s request, is hereby authorized to take any one or more of the following actions whenever the Administrator determines that such action is appropriate in order to prevent dilution or enlargement of the benefits or potential benefits intended to be made available under the Plan or with respect to any Award under the Plan, to facilitate such transactions or events or to give effect to such changes in laws, regulations or principles:</w:t>
      </w:r>
    </w:p>
    <w:p>
      <w:pPr>
        <w:spacing w:after="0" w:line="114" w:lineRule="exact"/>
        <w:rPr>
          <w:rFonts w:ascii="Times New Roman" w:cs="Times New Roman" w:eastAsia="Times New Roman" w:hAnsi="Times New Roman"/>
          <w:sz w:val="20"/>
          <w:szCs w:val="20"/>
          <w:color w:val="auto"/>
        </w:rPr>
      </w:pPr>
    </w:p>
    <w:p>
      <w:pPr>
        <w:jc w:val="both"/>
        <w:ind w:firstLine="1952"/>
        <w:spacing w:after="0" w:line="253" w:lineRule="auto"/>
        <w:tabs>
          <w:tab w:leader="none" w:pos="2590" w:val="left"/>
        </w:tabs>
        <w:numPr>
          <w:ilvl w:val="2"/>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for either (A) termination of any such Award in exchange for an amount of cash, if any, equal to the amount that would have been attained upon the exercise of such Award or realization of the Holder’s rights (and, for the avoidance of doubt, if as of the date of the occurrence of the transaction or event described in this Section 12.2 the Administrator determines in good faith that no amount would have been attained upon the exercise of such Award or realization of the Holder’s rights, then such Award may be terminated by the Company without payment) or (B) the replacement of such Award with other rights or property selected by the Administrator in its sole discretion</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981" w:right="339" w:bottom="1440" w:gutter="0" w:footer="0" w:header="0"/>
        </w:sectPr>
      </w:pPr>
    </w:p>
    <w:bookmarkStart w:id="27" w:name="page28"/>
    <w:bookmarkEnd w:id="27"/>
    <w:p>
      <w:pPr>
        <w:spacing w:after="0" w:line="283" w:lineRule="auto"/>
        <w:rPr>
          <w:sz w:val="20"/>
          <w:szCs w:val="20"/>
          <w:color w:val="auto"/>
        </w:rPr>
      </w:pPr>
      <w:r>
        <w:rPr>
          <w:rFonts w:ascii="Times New Roman" w:cs="Times New Roman" w:eastAsia="Times New Roman" w:hAnsi="Times New Roman"/>
          <w:sz w:val="20"/>
          <w:szCs w:val="20"/>
          <w:color w:val="auto"/>
        </w:rPr>
        <w:t>having an aggregate value not exceeding the amount that could have been attained upon the exercise of such Award or realization of the Holder’s rights had such Award been currently exercisable or payable or fully vested;</w:t>
      </w:r>
    </w:p>
    <w:p>
      <w:pPr>
        <w:spacing w:after="0" w:line="79" w:lineRule="exact"/>
        <w:rPr>
          <w:sz w:val="20"/>
          <w:szCs w:val="20"/>
          <w:color w:val="auto"/>
        </w:rPr>
      </w:pPr>
    </w:p>
    <w:p>
      <w:pPr>
        <w:jc w:val="both"/>
        <w:ind w:firstLine="1952"/>
        <w:spacing w:after="0" w:line="261" w:lineRule="auto"/>
        <w:tabs>
          <w:tab w:leader="none" w:pos="2591"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that such Award be assumed by the successor or survivor corporation, or a parent or subsidiary thereof, or shall be substituted for by similar options, rights or awards covering the stock of the successor or survivor corporation, or a parent or subsidiary thereof, with appropriate adjustments as to the number and kind of shares and prices;</w:t>
      </w:r>
    </w:p>
    <w:p>
      <w:pPr>
        <w:spacing w:after="0" w:line="100" w:lineRule="exact"/>
        <w:rPr>
          <w:rFonts w:ascii="Times New Roman" w:cs="Times New Roman" w:eastAsia="Times New Roman" w:hAnsi="Times New Roman"/>
          <w:sz w:val="20"/>
          <w:szCs w:val="20"/>
          <w:color w:val="auto"/>
        </w:rPr>
      </w:pPr>
    </w:p>
    <w:p>
      <w:pPr>
        <w:jc w:val="both"/>
        <w:ind w:firstLine="1952"/>
        <w:spacing w:after="0" w:line="261" w:lineRule="auto"/>
        <w:tabs>
          <w:tab w:leader="none" w:pos="2592"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make adjustments in the number and type of Shares of the Company’s stock (or other securities or property) subject to outstanding Awards, and in the number and kind of outstanding Restricted Stock and/or in the terms and conditions of (including the grant or exercise price), and the criteria included in, outstanding Awards and Awards which may be granted in the future;</w:t>
      </w:r>
    </w:p>
    <w:p>
      <w:pPr>
        <w:spacing w:after="0" w:line="113" w:lineRule="exact"/>
        <w:rPr>
          <w:rFonts w:ascii="Times New Roman" w:cs="Times New Roman" w:eastAsia="Times New Roman" w:hAnsi="Times New Roman"/>
          <w:sz w:val="20"/>
          <w:szCs w:val="20"/>
          <w:color w:val="auto"/>
        </w:rPr>
      </w:pPr>
    </w:p>
    <w:p>
      <w:pPr>
        <w:ind w:right="20" w:firstLine="1952"/>
        <w:spacing w:after="0" w:line="269" w:lineRule="auto"/>
        <w:tabs>
          <w:tab w:leader="none" w:pos="2581"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that such Award shall be exercisable or payable or fully vested with respect to all Shares covered thereby, notwithstanding anything to the contrary in the Plan or the applicable Award Agreement; and</w:t>
      </w:r>
    </w:p>
    <w:p>
      <w:pPr>
        <w:spacing w:after="0" w:line="105"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that the Award cannot vest, be exercised or become payable after such event.</w:t>
      </w:r>
    </w:p>
    <w:p>
      <w:pPr>
        <w:spacing w:after="0" w:line="148" w:lineRule="exact"/>
        <w:rPr>
          <w:rFonts w:ascii="Times New Roman" w:cs="Times New Roman" w:eastAsia="Times New Roman" w:hAnsi="Times New Roman"/>
          <w:sz w:val="20"/>
          <w:szCs w:val="20"/>
          <w:color w:val="auto"/>
        </w:rPr>
      </w:pPr>
    </w:p>
    <w:p>
      <w:pPr>
        <w:jc w:val="both"/>
        <w:ind w:firstLine="1278"/>
        <w:spacing w:after="0" w:line="253" w:lineRule="auto"/>
        <w:tabs>
          <w:tab w:leader="none" w:pos="1935"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successor corporation in a Change in Control fails for any reason to assume or substitute for an Award upon the Change in Control, such Award shall become fully vested and, if applicable, exercisable and all forfeiture restrictions on such Award shall lapse as of immediately prior to the consummation of such Change in Control. If an Award is exercisable in lieu of assumption or substitution in the event of a Change in Control, the Administrator shall notify the Holder that the Award shall be fully exercisable for a period of fifteen (15) days from the date of such notice, contingent upon the occurrence of the Change in Control, and the Award shall terminate upon the expiration of such period.</w:t>
      </w:r>
    </w:p>
    <w:p>
      <w:pPr>
        <w:spacing w:after="0" w:line="111" w:lineRule="exact"/>
        <w:rPr>
          <w:rFonts w:ascii="Times New Roman" w:cs="Times New Roman" w:eastAsia="Times New Roman" w:hAnsi="Times New Roman"/>
          <w:sz w:val="20"/>
          <w:szCs w:val="20"/>
          <w:color w:val="auto"/>
        </w:rPr>
      </w:pPr>
    </w:p>
    <w:p>
      <w:pPr>
        <w:jc w:val="both"/>
        <w:ind w:firstLine="1278"/>
        <w:spacing w:after="0" w:line="261" w:lineRule="auto"/>
        <w:tabs>
          <w:tab w:leader="none" w:pos="1933"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Administrator may, in its sole discretion, include such further provisions and limitations in any Award, agreement or certificate, as it may deem equitable and in the best interests of the Company that are not inconsistent with the provisions of the Plan.</w:t>
      </w:r>
    </w:p>
    <w:p>
      <w:pPr>
        <w:spacing w:after="0" w:line="100" w:lineRule="exact"/>
        <w:rPr>
          <w:rFonts w:ascii="Times New Roman" w:cs="Times New Roman" w:eastAsia="Times New Roman" w:hAnsi="Times New Roman"/>
          <w:sz w:val="20"/>
          <w:szCs w:val="20"/>
          <w:color w:val="auto"/>
        </w:rPr>
      </w:pPr>
    </w:p>
    <w:p>
      <w:pPr>
        <w:jc w:val="both"/>
        <w:ind w:firstLine="1278"/>
        <w:spacing w:after="0" w:line="258" w:lineRule="auto"/>
        <w:tabs>
          <w:tab w:leader="none" w:pos="1935"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adjustment or action described in this Section 12.2 or in any other provision of the Plan shall be authorized to the extent that such adjustment or action would cause the Plan to violate Section 422(b)(1) of the Code. Furthermore, no such adjustment or action shall be authorized to the extent such adjustment or action would result in short-swing profits liability under Section 16 or violate the exemptive conditions of Rule 16b-3 unless the Administrator determines that the Award is not to comply with such exemptive conditions.</w:t>
      </w:r>
    </w:p>
    <w:p>
      <w:pPr>
        <w:spacing w:after="0" w:line="118" w:lineRule="exact"/>
        <w:rPr>
          <w:rFonts w:ascii="Times New Roman" w:cs="Times New Roman" w:eastAsia="Times New Roman" w:hAnsi="Times New Roman"/>
          <w:sz w:val="20"/>
          <w:szCs w:val="20"/>
          <w:color w:val="auto"/>
        </w:rPr>
      </w:pPr>
    </w:p>
    <w:p>
      <w:pPr>
        <w:jc w:val="both"/>
        <w:ind w:firstLine="1278"/>
        <w:spacing w:after="0" w:line="251" w:lineRule="auto"/>
        <w:tabs>
          <w:tab w:leader="none" w:pos="19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existence of the Plan, any Award Agreement and the Awards granted hereunder shall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warrants or rights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111" w:lineRule="exact"/>
        <w:rPr>
          <w:rFonts w:ascii="Times New Roman" w:cs="Times New Roman" w:eastAsia="Times New Roman" w:hAnsi="Times New Roman"/>
          <w:sz w:val="20"/>
          <w:szCs w:val="20"/>
          <w:color w:val="auto"/>
        </w:rPr>
      </w:pPr>
    </w:p>
    <w:p>
      <w:pPr>
        <w:ind w:firstLine="1278"/>
        <w:spacing w:after="0" w:line="283" w:lineRule="auto"/>
        <w:tabs>
          <w:tab w:leader="none" w:pos="1933"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action shall be taken under this Section 12.2 which shall cause an Award to fail to comply with Section 409A of the Code or the Treasury Regulations thereunder, to the extent applicable to such Award.</w:t>
      </w:r>
    </w:p>
    <w:p>
      <w:pPr>
        <w:spacing w:after="0" w:line="78" w:lineRule="exact"/>
        <w:rPr>
          <w:rFonts w:ascii="Times New Roman" w:cs="Times New Roman" w:eastAsia="Times New Roman" w:hAnsi="Times New Roman"/>
          <w:sz w:val="20"/>
          <w:szCs w:val="20"/>
          <w:color w:val="auto"/>
        </w:rPr>
      </w:pPr>
    </w:p>
    <w:p>
      <w:pPr>
        <w:jc w:val="both"/>
        <w:ind w:firstLine="1278"/>
        <w:spacing w:after="0" w:line="257" w:lineRule="auto"/>
        <w:tabs>
          <w:tab w:leader="none" w:pos="1933"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any pending stock dividend, stock split, subdivision, combination or exchange of shares, merger, consolidation, distribution (other than normal cash dividends) of Company assets to stockholders, reclassification, recapitalization or any other change affecting the Shares or the share price of the Common Stock, for reasons of administrative convenience, the Company in its sole discretion may refuse to permit the exercise of any Award during a period of up to thirty (30) days prior to the consummation of any such transaction.</w:t>
      </w:r>
    </w:p>
    <w:p>
      <w:pPr>
        <w:spacing w:after="0" w:line="1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12.3 </w:t>
      </w:r>
      <w:r>
        <w:rPr>
          <w:rFonts w:ascii="Times New Roman" w:cs="Times New Roman" w:eastAsia="Times New Roman" w:hAnsi="Times New Roman"/>
          <w:sz w:val="20"/>
          <w:szCs w:val="20"/>
          <w:u w:val="single" w:color="auto"/>
          <w:color w:val="auto"/>
        </w:rPr>
        <w:t>Approval of Plan by Stockholders</w:t>
      </w:r>
      <w:r>
        <w:rPr>
          <w:rFonts w:ascii="Times New Roman" w:cs="Times New Roman" w:eastAsia="Times New Roman" w:hAnsi="Times New Roman"/>
          <w:sz w:val="20"/>
          <w:szCs w:val="20"/>
          <w:color w:val="auto"/>
        </w:rPr>
        <w:t>. The Plan will be submitted for the approval of the Company’s stockholders within twelve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 months after the date of the Board’s initial adoption of the Plan.</w:t>
      </w:r>
    </w:p>
    <w:p>
      <w:pPr>
        <w:spacing w:after="0" w:line="140" w:lineRule="exact"/>
        <w:rPr>
          <w:sz w:val="20"/>
          <w:szCs w:val="20"/>
          <w:color w:val="auto"/>
        </w:rPr>
      </w:pPr>
    </w:p>
    <w:p>
      <w:pPr>
        <w:ind w:right="520" w:firstLine="648"/>
        <w:spacing w:after="0" w:line="269" w:lineRule="auto"/>
        <w:rPr>
          <w:sz w:val="20"/>
          <w:szCs w:val="20"/>
          <w:color w:val="auto"/>
        </w:rPr>
      </w:pPr>
      <w:r>
        <w:rPr>
          <w:rFonts w:ascii="Times New Roman" w:cs="Times New Roman" w:eastAsia="Times New Roman" w:hAnsi="Times New Roman"/>
          <w:sz w:val="20"/>
          <w:szCs w:val="20"/>
          <w:color w:val="auto"/>
        </w:rPr>
        <w:t xml:space="preserve">12.4 </w:t>
      </w:r>
      <w:r>
        <w:rPr>
          <w:rFonts w:ascii="Times New Roman" w:cs="Times New Roman" w:eastAsia="Times New Roman" w:hAnsi="Times New Roman"/>
          <w:sz w:val="20"/>
          <w:szCs w:val="20"/>
          <w:u w:val="single" w:color="auto"/>
          <w:color w:val="auto"/>
        </w:rPr>
        <w:t>No Stockholders Rights</w:t>
      </w:r>
      <w:r>
        <w:rPr>
          <w:rFonts w:ascii="Times New Roman" w:cs="Times New Roman" w:eastAsia="Times New Roman" w:hAnsi="Times New Roman"/>
          <w:sz w:val="20"/>
          <w:szCs w:val="20"/>
          <w:color w:val="auto"/>
        </w:rPr>
        <w:t>. Except as otherwise provided herein, a Holder shall have none of the rights of a stockholder with respect to Shares covered by any Award until the Holder becomes the record owner of such Shares.</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981" w:right="339" w:bottom="1440" w:gutter="0" w:footer="0" w:header="0"/>
        </w:sectPr>
      </w:pPr>
    </w:p>
    <w:bookmarkStart w:id="28" w:name="page29"/>
    <w:bookmarkEnd w:id="28"/>
    <w:p>
      <w:pPr>
        <w:spacing w:after="0" w:line="251" w:lineRule="auto"/>
        <w:rPr>
          <w:sz w:val="20"/>
          <w:szCs w:val="20"/>
          <w:color w:val="auto"/>
        </w:rPr>
      </w:pPr>
      <w:r>
        <w:rPr>
          <w:rFonts w:ascii="Times New Roman" w:cs="Times New Roman" w:eastAsia="Times New Roman" w:hAnsi="Times New Roman"/>
          <w:sz w:val="20"/>
          <w:szCs w:val="20"/>
          <w:color w:val="auto"/>
        </w:rPr>
        <w:t xml:space="preserve">Without limiting the generality of the foregoing, no Holder will have any of the rights of a stockholder with respect to any Shares until the Shares are issued to the Holder. After Shares are issued to the Holder, the Holder will be a stockholder and have all the rights of a stockholder with respect to such Shares, including the right to vote and receive all dividends or other distributions made or paid with respect to such Shares;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Shares are Restricted Stock, then any new, additional or different securities the Holder may become entitled to receive with respect to such Shares by virtue of a stock dividend, stock split or any other change in the corporate or capital structure of the Company will be subject to the same restrictions as the Restricted Stock;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the Holder will have no right to retain such stock dividends or stock distributions with respect to Shares that are repurchased by the Company pursuant to this Plan or the Award Agreement.</w:t>
      </w:r>
    </w:p>
    <w:p>
      <w:pPr>
        <w:spacing w:after="0" w:line="114" w:lineRule="exact"/>
        <w:rPr>
          <w:sz w:val="20"/>
          <w:szCs w:val="20"/>
          <w:color w:val="auto"/>
        </w:rPr>
      </w:pPr>
    </w:p>
    <w:p>
      <w:pPr>
        <w:ind w:right="460" w:firstLine="648"/>
        <w:spacing w:after="0" w:line="258" w:lineRule="auto"/>
        <w:rPr>
          <w:sz w:val="20"/>
          <w:szCs w:val="20"/>
          <w:color w:val="auto"/>
        </w:rPr>
      </w:pPr>
      <w:r>
        <w:rPr>
          <w:rFonts w:ascii="Times New Roman" w:cs="Times New Roman" w:eastAsia="Times New Roman" w:hAnsi="Times New Roman"/>
          <w:sz w:val="20"/>
          <w:szCs w:val="20"/>
          <w:color w:val="auto"/>
        </w:rPr>
        <w:t xml:space="preserve">12.5 </w:t>
      </w:r>
      <w:r>
        <w:rPr>
          <w:rFonts w:ascii="Times New Roman" w:cs="Times New Roman" w:eastAsia="Times New Roman" w:hAnsi="Times New Roman"/>
          <w:sz w:val="20"/>
          <w:szCs w:val="20"/>
          <w:u w:val="single" w:color="auto"/>
          <w:color w:val="auto"/>
        </w:rPr>
        <w:t>Paperless Administration</w:t>
      </w:r>
      <w:r>
        <w:rPr>
          <w:rFonts w:ascii="Times New Roman" w:cs="Times New Roman" w:eastAsia="Times New Roman" w:hAnsi="Times New Roman"/>
          <w:sz w:val="20"/>
          <w:szCs w:val="20"/>
          <w:color w:val="auto"/>
        </w:rPr>
        <w:t>. In the event that the Company establishes, for itself or using the services of a third party, an automated system for the documentation, granting or exercise of Awards, such as a system using an internet website or interactive voice response, then the paperless documentation, granting or exercise of Awards by a Holder may be permitted through the use of such an automated system.</w:t>
      </w:r>
    </w:p>
    <w:p>
      <w:pPr>
        <w:spacing w:after="0" w:line="105" w:lineRule="exact"/>
        <w:rPr>
          <w:sz w:val="20"/>
          <w:szCs w:val="20"/>
          <w:color w:val="auto"/>
        </w:rPr>
      </w:pPr>
    </w:p>
    <w:p>
      <w:pPr>
        <w:ind w:firstLine="674"/>
        <w:spacing w:after="0" w:line="275" w:lineRule="auto"/>
        <w:rPr>
          <w:sz w:val="20"/>
          <w:szCs w:val="20"/>
          <w:color w:val="auto"/>
        </w:rPr>
      </w:pPr>
      <w:r>
        <w:rPr>
          <w:rFonts w:ascii="Times New Roman" w:cs="Times New Roman" w:eastAsia="Times New Roman" w:hAnsi="Times New Roman"/>
          <w:sz w:val="19"/>
          <w:szCs w:val="19"/>
          <w:color w:val="auto"/>
        </w:rPr>
        <w:t xml:space="preserve">12.6 </w:t>
      </w:r>
      <w:r>
        <w:rPr>
          <w:rFonts w:ascii="Times New Roman" w:cs="Times New Roman" w:eastAsia="Times New Roman" w:hAnsi="Times New Roman"/>
          <w:sz w:val="19"/>
          <w:szCs w:val="19"/>
          <w:u w:val="single" w:color="auto"/>
          <w:color w:val="auto"/>
        </w:rPr>
        <w:t>Effect of Plan upon Other Compensation Plans</w:t>
      </w:r>
      <w:r>
        <w:rPr>
          <w:rFonts w:ascii="Times New Roman" w:cs="Times New Roman" w:eastAsia="Times New Roman" w:hAnsi="Times New Roman"/>
          <w:sz w:val="19"/>
          <w:szCs w:val="19"/>
          <w:color w:val="auto"/>
        </w:rPr>
        <w:t>. The adoption of the Plan shall not affect any other compensation or incentive plans in effect for the Company or any Subsidiary. Nothing in the Plan shall be construed to limit the right of the Company or any Subsidiary:</w:t>
      </w:r>
    </w:p>
    <w:p>
      <w:pPr>
        <w:spacing w:after="0" w:line="1" w:lineRule="exact"/>
        <w:rPr>
          <w:sz w:val="20"/>
          <w:szCs w:val="20"/>
          <w:color w:val="auto"/>
        </w:rPr>
      </w:pPr>
    </w:p>
    <w:p>
      <w:pPr>
        <w:ind w:left="280" w:hanging="272"/>
        <w:spacing w:after="0"/>
        <w:tabs>
          <w:tab w:leader="none" w:pos="28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establish any other forms of incentives or compensation for Employees, Directors or Consultants of the Company or any Subsidiary, or</w:t>
      </w:r>
    </w:p>
    <w:p>
      <w:pPr>
        <w:spacing w:after="0" w:line="17" w:lineRule="exact"/>
        <w:rPr>
          <w:rFonts w:ascii="Times New Roman" w:cs="Times New Roman" w:eastAsia="Times New Roman" w:hAnsi="Times New Roman"/>
          <w:sz w:val="19"/>
          <w:szCs w:val="19"/>
          <w:color w:val="auto"/>
        </w:rPr>
      </w:pPr>
    </w:p>
    <w:p>
      <w:pPr>
        <w:ind w:left="280" w:hanging="272"/>
        <w:spacing w:after="0"/>
        <w:tabs>
          <w:tab w:leader="none" w:pos="28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otherwise provided herein, to grant or assume options or other rights or awards otherwise than under the Plan in connection with</w:t>
      </w:r>
    </w:p>
    <w:p>
      <w:pPr>
        <w:spacing w:after="0" w:line="1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any proper corporate purpose including without limitation, the grant or assumption of options in connection with the acquisition by purchase, lease, merger, consolidation or otherwise, of the business, stock or assets of any corporation, partnership, limited liability company, firm or association.</w:t>
      </w:r>
    </w:p>
    <w:p>
      <w:pPr>
        <w:spacing w:after="0" w:line="108"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20"/>
          <w:szCs w:val="20"/>
          <w:color w:val="auto"/>
        </w:rPr>
        <w:t xml:space="preserve">12.7 </w:t>
      </w:r>
      <w:r>
        <w:rPr>
          <w:rFonts w:ascii="Times New Roman" w:cs="Times New Roman" w:eastAsia="Times New Roman" w:hAnsi="Times New Roman"/>
          <w:sz w:val="20"/>
          <w:szCs w:val="20"/>
          <w:u w:val="single" w:color="auto"/>
          <w:color w:val="auto"/>
        </w:rPr>
        <w:t>Compliance with Laws</w:t>
      </w:r>
      <w:r>
        <w:rPr>
          <w:rFonts w:ascii="Times New Roman" w:cs="Times New Roman" w:eastAsia="Times New Roman" w:hAnsi="Times New Roman"/>
          <w:sz w:val="20"/>
          <w:szCs w:val="20"/>
          <w:color w:val="auto"/>
        </w:rPr>
        <w:t>. The Plan, the granting and vesting of Awards under the Plan and the issuance and delivery of Shares and the payment of money under the Plan or under Awards granted or awarded hereunder are subject to compliance with all Applicable Laws (including but not limited to margin requirements), and to such approvals by any listing, regulatory or governmental authority as may, in the opinion of counsel for the Company, be necessary or advisable in connection therewith. Any securities delivered under the Plan shall be subject to such restrictions, and the person acquiring such securities shall, if requested by the Company, provide such assurances and representations to the Company as the Company may deem necessary or desirable to assure compliance with all Applicable Laws. To the extent permitted by Applicable Laws, the Plan and Awards granted or awarded hereunder shall be deemed amended to the extent necessary to conform to Applicable Laws.</w:t>
      </w:r>
    </w:p>
    <w:p>
      <w:pPr>
        <w:spacing w:after="0" w:line="128" w:lineRule="exact"/>
        <w:rPr>
          <w:sz w:val="20"/>
          <w:szCs w:val="20"/>
          <w:color w:val="auto"/>
        </w:rPr>
      </w:pPr>
    </w:p>
    <w:p>
      <w:pPr>
        <w:ind w:right="340" w:firstLine="648"/>
        <w:spacing w:after="0" w:line="254" w:lineRule="auto"/>
        <w:rPr>
          <w:sz w:val="20"/>
          <w:szCs w:val="20"/>
          <w:color w:val="auto"/>
        </w:rPr>
      </w:pPr>
      <w:r>
        <w:rPr>
          <w:rFonts w:ascii="Times New Roman" w:cs="Times New Roman" w:eastAsia="Times New Roman" w:hAnsi="Times New Roman"/>
          <w:sz w:val="20"/>
          <w:szCs w:val="20"/>
          <w:color w:val="auto"/>
        </w:rPr>
        <w:t xml:space="preserve">12.8 </w:t>
      </w:r>
      <w:r>
        <w:rPr>
          <w:rFonts w:ascii="Times New Roman" w:cs="Times New Roman" w:eastAsia="Times New Roman" w:hAnsi="Times New Roman"/>
          <w:sz w:val="20"/>
          <w:szCs w:val="20"/>
          <w:u w:val="single" w:color="auto"/>
          <w:color w:val="auto"/>
        </w:rPr>
        <w:t>Titles and Headings, References to Sections of the Code, Exchange Act or Securities Act</w:t>
      </w:r>
      <w:r>
        <w:rPr>
          <w:rFonts w:ascii="Times New Roman" w:cs="Times New Roman" w:eastAsia="Times New Roman" w:hAnsi="Times New Roman"/>
          <w:sz w:val="20"/>
          <w:szCs w:val="20"/>
          <w:color w:val="auto"/>
        </w:rPr>
        <w:t>. The titles and headings of the Sections in the Plan are for convenience of reference only and, in the event of any conflict, the text of the Plan, rather than such titles or headings, shall control. References to sections of the Code, the Exchange Act or Securities Act shall include any amendment or successor thereto.</w:t>
      </w:r>
    </w:p>
    <w:p>
      <w:pPr>
        <w:spacing w:after="0" w:line="120" w:lineRule="exact"/>
        <w:rPr>
          <w:sz w:val="20"/>
          <w:szCs w:val="20"/>
          <w:color w:val="auto"/>
        </w:rPr>
      </w:pPr>
    </w:p>
    <w:p>
      <w:pPr>
        <w:ind w:right="60" w:firstLine="648"/>
        <w:spacing w:after="0" w:line="269" w:lineRule="auto"/>
        <w:rPr>
          <w:sz w:val="20"/>
          <w:szCs w:val="20"/>
          <w:color w:val="auto"/>
        </w:rPr>
      </w:pPr>
      <w:r>
        <w:rPr>
          <w:rFonts w:ascii="Times New Roman" w:cs="Times New Roman" w:eastAsia="Times New Roman" w:hAnsi="Times New Roman"/>
          <w:sz w:val="20"/>
          <w:szCs w:val="20"/>
          <w:color w:val="auto"/>
        </w:rPr>
        <w:t xml:space="preserve">12.9 </w:t>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The Plan and any agreements hereunder shall be administered, interpreted and enforced under the internal laws of the State of Delaware without regard to conflicts of laws thereof or of any other jurisdiction.</w:t>
      </w:r>
    </w:p>
    <w:p>
      <w:pPr>
        <w:spacing w:after="0" w:line="105" w:lineRule="exact"/>
        <w:rPr>
          <w:sz w:val="20"/>
          <w:szCs w:val="20"/>
          <w:color w:val="auto"/>
        </w:rPr>
      </w:pPr>
    </w:p>
    <w:p>
      <w:pPr>
        <w:ind w:right="80" w:firstLine="648"/>
        <w:spacing w:after="0" w:line="249" w:lineRule="auto"/>
        <w:rPr>
          <w:sz w:val="20"/>
          <w:szCs w:val="20"/>
          <w:color w:val="auto"/>
        </w:rPr>
      </w:pPr>
      <w:r>
        <w:rPr>
          <w:rFonts w:ascii="Times New Roman" w:cs="Times New Roman" w:eastAsia="Times New Roman" w:hAnsi="Times New Roman"/>
          <w:sz w:val="20"/>
          <w:szCs w:val="20"/>
          <w:color w:val="auto"/>
        </w:rPr>
        <w:t xml:space="preserve">12.10 </w:t>
      </w:r>
      <w:r>
        <w:rPr>
          <w:rFonts w:ascii="Times New Roman" w:cs="Times New Roman" w:eastAsia="Times New Roman" w:hAnsi="Times New Roman"/>
          <w:sz w:val="20"/>
          <w:szCs w:val="20"/>
          <w:u w:val="single" w:color="auto"/>
          <w:color w:val="auto"/>
        </w:rPr>
        <w:t>Securities Law and Other Regulatory Compliance</w:t>
      </w:r>
      <w:r>
        <w:rPr>
          <w:rFonts w:ascii="Times New Roman" w:cs="Times New Roman" w:eastAsia="Times New Roman" w:hAnsi="Times New Roman"/>
          <w:sz w:val="20"/>
          <w:szCs w:val="20"/>
          <w:color w:val="auto"/>
        </w:rPr>
        <w:t>. An Award will not be effective unless such Award is in compliance with all applicable federal, state and foreign securities laws, rules and regulations of any governmental body, and the requirements of any stock exchange or automated quotation system upon which the Shares may then be listed or quoted, as they are in effect on the date of grant of the Award and also on the date of exercise or other issuance. Notwithstanding any other provision in this Plan, the Company will have no obligation to issue or deliver certificates for Shares under this Plan prior to: (a) obtaining any approvals from governmental agencies that the Company determines are necessary or advisable; and/or (b) completion of any registration or other qualification of such Shares under any state, federal or foreign law or ruling of any governmental body that the Company determines to be necessary or advisable. The Company will be under no obligation to register the Shares with the Securities and Exchange Commission or to effect compliance with the registration, qualification or listing requirements of any state securities laws, stock exchange or automated quotation system, and the Company will have no liability for any inability or failure to do so. As a condition to the grant of any Award, the Company may require the Holder to satisfy any qualifications that may be necessary or appropriate to evidence compliance with any applicable law or regulation and to make any representation or warranty with respect thereto as may be requested by the Company.</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981" w:right="339" w:bottom="1440" w:gutter="0" w:footer="0" w:header="0"/>
        </w:sectPr>
      </w:pPr>
    </w:p>
    <w:bookmarkStart w:id="29" w:name="page30"/>
    <w:bookmarkEnd w:id="29"/>
    <w:p>
      <w:pPr>
        <w:ind w:right="120" w:firstLine="648"/>
        <w:spacing w:after="0" w:line="251" w:lineRule="auto"/>
        <w:rPr>
          <w:sz w:val="20"/>
          <w:szCs w:val="20"/>
          <w:color w:val="auto"/>
        </w:rPr>
      </w:pPr>
      <w:r>
        <w:rPr>
          <w:rFonts w:ascii="Times New Roman" w:cs="Times New Roman" w:eastAsia="Times New Roman" w:hAnsi="Times New Roman"/>
          <w:sz w:val="20"/>
          <w:szCs w:val="20"/>
          <w:color w:val="auto"/>
        </w:rPr>
        <w:t xml:space="preserve">12.11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To the extent that the Administrator determines that any Award granted under the Plan is subject to Section 409A of the Code, the Award Agreement evidencing such Award shall incorporate the terms and conditions required by Section 409A of the Code. To the extent applicable, the Plan and any Award Agreements shall be interpreted in accordance with Section 409A of the Code and Department of Treasury regulations and other interpretive guidance issued thereunder, including without limitation any such regulations or other guidance that may be issued after the Effective Date. Notwithstanding any provision of the Plan to the contrary, in the event that following the Effective Date the Administrator determines that any Award may be subject to Section 409A of the Code and related Department of Treasury guidance (including such Department of Treasury guidance as may be issued after the Effective Date), the Administrator may adopt such amendments to the Plan and the applicable Award Agreement or adopt other policies and procedures (including amendments, policies and procedures with retroactive effect), or take any other actions, that the Administrator determines are necessary or appropriate to (a) exempt the Award from Section 409A of the Code and/or preserve the intended tax treatment of the benefits provided with respect to the Award, or (b) comply with the requirements of Section 409A of the Code and related Department of Treasury guidance and thereby avoid the application of any penalty taxes under such Section. Further:</w:t>
      </w:r>
    </w:p>
    <w:p>
      <w:pPr>
        <w:spacing w:after="0" w:line="115" w:lineRule="exact"/>
        <w:rPr>
          <w:sz w:val="20"/>
          <w:szCs w:val="20"/>
          <w:color w:val="auto"/>
        </w:rPr>
      </w:pPr>
    </w:p>
    <w:p>
      <w:pPr>
        <w:jc w:val="both"/>
        <w:ind w:firstLine="1278"/>
        <w:spacing w:after="0" w:line="252" w:lineRule="auto"/>
        <w:tabs>
          <w:tab w:leader="none" w:pos="1935"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Termination of Service shall not be deemed to have occurred for purposes of any provision of this Plan providing for the payment of any amounts following a Termination of Service that constitute “nonqualified deferred compensation” within the meaning of Section 409A of the Code and the final regulations issued thereunder unless or until such termination also constitutes a “separation from service” within the meaning of Section 409A of the Code and the final regulations issued thereunder.</w:t>
      </w:r>
    </w:p>
    <w:p>
      <w:pPr>
        <w:spacing w:after="0" w:line="1" w:lineRule="exact"/>
        <w:rPr>
          <w:rFonts w:ascii="Times New Roman" w:cs="Times New Roman" w:eastAsia="Times New Roman" w:hAnsi="Times New Roman"/>
          <w:sz w:val="20"/>
          <w:szCs w:val="20"/>
          <w:color w:val="auto"/>
        </w:rPr>
      </w:pPr>
    </w:p>
    <w:p>
      <w:pPr>
        <w:jc w:val="both"/>
        <w:ind w:firstLine="1278"/>
        <w:spacing w:after="0" w:line="248" w:lineRule="auto"/>
        <w:tabs>
          <w:tab w:leader="none" w:pos="1933"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payment to a Holder in connection with his or her Termination of Service is determined to constitute “nonqualified deferred compensation” within the meaning of Section 409A of the Code and the final regulations issued thereunder and the Holder is a “specified employee” as defined in Section 409A of the Code and the final regulations issued thereunder, no part of such payment shall be paid before the day that is six months plus one day after the Holder’s Termination of Service for reasons other than his or her death (the “New Payment Date”). The aggregate of any payments that otherwise would have been paid to the Holder during the period between the date of such Termination of Service and the New Payment Date shall be paid to the Holder in a single sum on the earlier of (i) such New Payment Date, or (ii) the Holder’s death. Thereafter, any payments that remain outstanding as of the day immediately following the New Payment Date shall be paid without delay over the time period originally scheduled, in accordance with the terms of this Plan and the Holder’s Award Agreement.</w:t>
      </w:r>
    </w:p>
    <w:p>
      <w:pPr>
        <w:spacing w:after="0" w:line="1" w:lineRule="exact"/>
        <w:rPr>
          <w:rFonts w:ascii="Times New Roman" w:cs="Times New Roman" w:eastAsia="Times New Roman" w:hAnsi="Times New Roman"/>
          <w:sz w:val="20"/>
          <w:szCs w:val="20"/>
          <w:color w:val="auto"/>
        </w:rPr>
      </w:pPr>
    </w:p>
    <w:p>
      <w:pPr>
        <w:jc w:val="both"/>
        <w:ind w:firstLine="1278"/>
        <w:spacing w:after="0" w:line="246" w:lineRule="auto"/>
        <w:tabs>
          <w:tab w:leader="none" w:pos="1935"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Whenever a payment under an Award Agreement specifies a payment period with reference to a number of days (e.g., “payment shall be made within 30 days following the date of Termination of Service”), the actual date of payment within the specified period shall be within the sole discretion of the Company (except as otherwise set forth in Section 12.11(b)).</w:t>
      </w:r>
    </w:p>
    <w:p>
      <w:pPr>
        <w:spacing w:after="0" w:line="1" w:lineRule="exact"/>
        <w:rPr>
          <w:rFonts w:ascii="Times New Roman" w:cs="Times New Roman" w:eastAsia="Times New Roman" w:hAnsi="Times New Roman"/>
          <w:sz w:val="20"/>
          <w:szCs w:val="20"/>
          <w:color w:val="auto"/>
        </w:rPr>
      </w:pPr>
    </w:p>
    <w:p>
      <w:pPr>
        <w:jc w:val="both"/>
        <w:ind w:firstLine="1278"/>
        <w:spacing w:after="0" w:line="249" w:lineRule="auto"/>
        <w:tabs>
          <w:tab w:leader="none" w:pos="1933"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herein to the contrary, the Company shall have no liability to any Holder or to any other person if the payments and benefits provided under this Plan or pursuant to any Award Agreement that are intended to be exempt from or compliant with Section 409A of the Code are not so exempt or compliant.</w:t>
      </w:r>
    </w:p>
    <w:p>
      <w:pPr>
        <w:spacing w:after="0" w:line="194" w:lineRule="exact"/>
        <w:rPr>
          <w:sz w:val="20"/>
          <w:szCs w:val="20"/>
          <w:color w:val="auto"/>
        </w:rPr>
      </w:pPr>
    </w:p>
    <w:p>
      <w:pPr>
        <w:ind w:right="420" w:firstLine="648"/>
        <w:spacing w:after="0" w:line="310" w:lineRule="auto"/>
        <w:rPr>
          <w:sz w:val="20"/>
          <w:szCs w:val="20"/>
          <w:color w:val="auto"/>
        </w:rPr>
      </w:pPr>
      <w:r>
        <w:rPr>
          <w:rFonts w:ascii="Times New Roman" w:cs="Times New Roman" w:eastAsia="Times New Roman" w:hAnsi="Times New Roman"/>
          <w:sz w:val="19"/>
          <w:szCs w:val="19"/>
          <w:color w:val="auto"/>
        </w:rPr>
        <w:t xml:space="preserve">12.12 </w:t>
      </w:r>
      <w:r>
        <w:rPr>
          <w:rFonts w:ascii="Times New Roman" w:cs="Times New Roman" w:eastAsia="Times New Roman" w:hAnsi="Times New Roman"/>
          <w:sz w:val="19"/>
          <w:szCs w:val="19"/>
          <w:u w:val="single" w:color="auto"/>
          <w:color w:val="auto"/>
        </w:rPr>
        <w:t>No Rights to Awards</w:t>
      </w:r>
      <w:r>
        <w:rPr>
          <w:rFonts w:ascii="Times New Roman" w:cs="Times New Roman" w:eastAsia="Times New Roman" w:hAnsi="Times New Roman"/>
          <w:sz w:val="19"/>
          <w:szCs w:val="19"/>
          <w:color w:val="auto"/>
        </w:rPr>
        <w:t>. No Eligible Individual or other person shall have any claim to be granted any Award pursuant to the Plan, and neither the Company nor the Administrator is obligated to treat Eligible Individuals, Holders or any other persons uniformly.</w:t>
      </w:r>
    </w:p>
    <w:p>
      <w:pPr>
        <w:spacing w:after="0" w:line="57" w:lineRule="exact"/>
        <w:rPr>
          <w:sz w:val="20"/>
          <w:szCs w:val="20"/>
          <w:color w:val="auto"/>
        </w:rPr>
      </w:pPr>
    </w:p>
    <w:p>
      <w:pPr>
        <w:jc w:val="both"/>
        <w:ind w:right="220" w:firstLine="648"/>
        <w:spacing w:after="0" w:line="261" w:lineRule="auto"/>
        <w:rPr>
          <w:sz w:val="20"/>
          <w:szCs w:val="20"/>
          <w:color w:val="auto"/>
        </w:rPr>
      </w:pPr>
      <w:r>
        <w:rPr>
          <w:rFonts w:ascii="Times New Roman" w:cs="Times New Roman" w:eastAsia="Times New Roman" w:hAnsi="Times New Roman"/>
          <w:sz w:val="20"/>
          <w:szCs w:val="20"/>
          <w:color w:val="auto"/>
        </w:rPr>
        <w:t xml:space="preserve">12.13 </w:t>
      </w:r>
      <w:r>
        <w:rPr>
          <w:rFonts w:ascii="Times New Roman" w:cs="Times New Roman" w:eastAsia="Times New Roman" w:hAnsi="Times New Roman"/>
          <w:sz w:val="20"/>
          <w:szCs w:val="20"/>
          <w:u w:val="single" w:color="auto"/>
          <w:color w:val="auto"/>
        </w:rPr>
        <w:t>Unfunded Status of Awards</w:t>
      </w:r>
      <w:r>
        <w:rPr>
          <w:rFonts w:ascii="Times New Roman" w:cs="Times New Roman" w:eastAsia="Times New Roman" w:hAnsi="Times New Roman"/>
          <w:sz w:val="20"/>
          <w:szCs w:val="20"/>
          <w:color w:val="auto"/>
        </w:rPr>
        <w:t>. The Plan is intended to be an “unfunded” plan for incentive compensation. With respect to any payments not yet made to a Holder pursuant to an Award, nothing contained in the Plan or any Award Agreement shall give the Holder any rights that are greater than those of a general creditor of the Company or any Subsidiary.</w:t>
      </w:r>
    </w:p>
    <w:p>
      <w:pPr>
        <w:spacing w:after="0" w:line="100"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 xml:space="preserve">12.14 </w:t>
      </w:r>
      <w:r>
        <w:rPr>
          <w:rFonts w:ascii="Times New Roman" w:cs="Times New Roman" w:eastAsia="Times New Roman" w:hAnsi="Times New Roman"/>
          <w:sz w:val="20"/>
          <w:szCs w:val="20"/>
          <w:u w:val="single" w:color="auto"/>
          <w:color w:val="auto"/>
        </w:rPr>
        <w:t>Indemnification</w:t>
      </w:r>
      <w:r>
        <w:rPr>
          <w:rFonts w:ascii="Times New Roman" w:cs="Times New Roman" w:eastAsia="Times New Roman" w:hAnsi="Times New Roman"/>
          <w:sz w:val="20"/>
          <w:szCs w:val="20"/>
          <w:color w:val="auto"/>
        </w:rPr>
        <w:t>. To the extent allowable pursuant to Applicable Law, each member of the Committee or of the Board shall be indemnified and held harmless by the Company from any loss, cost, liability, or expense that may be imposed upon or reasonably incurred by such member in connection with or resulting from any claim, action, suit, or proceeding to which he or she may be a party or in which he or she may be involved by reason of any action or failure to act pursuant to the Plan and against and from any and all amounts paid by him or her in satisfaction of judgment in such action, suit, or proceeding against him or her; provided he or she gives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977" w:right="339" w:bottom="1440" w:gutter="0" w:footer="0" w:header="0"/>
        </w:sectPr>
      </w:pPr>
    </w:p>
    <w:bookmarkStart w:id="30" w:name="page31"/>
    <w:bookmarkEnd w:id="30"/>
    <w:p>
      <w:pPr>
        <w:ind w:right="180"/>
        <w:spacing w:after="0" w:line="283" w:lineRule="auto"/>
        <w:rPr>
          <w:sz w:val="20"/>
          <w:szCs w:val="20"/>
          <w:color w:val="auto"/>
        </w:rPr>
      </w:pPr>
      <w:r>
        <w:rPr>
          <w:rFonts w:ascii="Times New Roman" w:cs="Times New Roman" w:eastAsia="Times New Roman" w:hAnsi="Times New Roman"/>
          <w:sz w:val="20"/>
          <w:szCs w:val="20"/>
          <w:color w:val="auto"/>
        </w:rPr>
        <w:t>entitled pursuant to the Company’s Certificate of Incorporation or Bylaws, as a matter of law, or otherwise, or any power that the Company may have to indemnify them or hold them harmless.</w:t>
      </w:r>
    </w:p>
    <w:p>
      <w:pPr>
        <w:spacing w:after="0" w:line="7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20"/>
          <w:szCs w:val="20"/>
          <w:color w:val="auto"/>
        </w:rPr>
        <w:t xml:space="preserve">12.15 </w:t>
      </w:r>
      <w:r>
        <w:rPr>
          <w:rFonts w:ascii="Times New Roman" w:cs="Times New Roman" w:eastAsia="Times New Roman" w:hAnsi="Times New Roman"/>
          <w:sz w:val="20"/>
          <w:szCs w:val="20"/>
          <w:u w:val="single" w:color="auto"/>
          <w:color w:val="auto"/>
        </w:rPr>
        <w:t>Relationship to other Benefits</w:t>
      </w:r>
      <w:r>
        <w:rPr>
          <w:rFonts w:ascii="Times New Roman" w:cs="Times New Roman" w:eastAsia="Times New Roman" w:hAnsi="Times New Roman"/>
          <w:sz w:val="20"/>
          <w:szCs w:val="20"/>
          <w:color w:val="auto"/>
        </w:rPr>
        <w:t>. No payment pursuant to the Plan shall be taken into account in determining any benefits under any pension, retirement, savings, profit sharing, group insurance, welfare or other benefit plan of the Company or any Subsidiary except to the extent otherwise expressly provided in writing in such other plan or an agreement thereunder.</w:t>
      </w:r>
    </w:p>
    <w:p>
      <w:pPr>
        <w:spacing w:after="0" w:line="1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12.16 </w:t>
      </w:r>
      <w:r>
        <w:rPr>
          <w:rFonts w:ascii="Times New Roman" w:cs="Times New Roman" w:eastAsia="Times New Roman" w:hAnsi="Times New Roman"/>
          <w:sz w:val="20"/>
          <w:szCs w:val="20"/>
          <w:u w:val="single" w:color="auto"/>
          <w:color w:val="auto"/>
        </w:rPr>
        <w:t>Expenses</w:t>
      </w:r>
      <w:r>
        <w:rPr>
          <w:rFonts w:ascii="Times New Roman" w:cs="Times New Roman" w:eastAsia="Times New Roman" w:hAnsi="Times New Roman"/>
          <w:sz w:val="20"/>
          <w:szCs w:val="20"/>
          <w:color w:val="auto"/>
        </w:rPr>
        <w:t>. The expenses of administering the Plan shall be borne by the Company and its Subsidiaries.</w:t>
      </w:r>
    </w:p>
    <w:p>
      <w:pPr>
        <w:spacing w:after="0" w:line="162" w:lineRule="exact"/>
        <w:rPr>
          <w:sz w:val="20"/>
          <w:szCs w:val="20"/>
          <w:color w:val="auto"/>
        </w:rPr>
      </w:pPr>
    </w:p>
    <w:p>
      <w:pPr>
        <w:ind w:right="100" w:firstLine="648"/>
        <w:spacing w:after="0" w:line="263" w:lineRule="auto"/>
        <w:rPr>
          <w:sz w:val="20"/>
          <w:szCs w:val="20"/>
          <w:color w:val="auto"/>
        </w:rPr>
      </w:pPr>
      <w:r>
        <w:rPr>
          <w:rFonts w:ascii="Times New Roman" w:cs="Times New Roman" w:eastAsia="Times New Roman" w:hAnsi="Times New Roman"/>
          <w:sz w:val="19"/>
          <w:szCs w:val="19"/>
          <w:color w:val="auto"/>
        </w:rPr>
        <w:t xml:space="preserve">12.17 </w:t>
      </w:r>
      <w:r>
        <w:rPr>
          <w:rFonts w:ascii="Times New Roman" w:cs="Times New Roman" w:eastAsia="Times New Roman" w:hAnsi="Times New Roman"/>
          <w:sz w:val="19"/>
          <w:szCs w:val="19"/>
          <w:u w:val="single" w:color="auto"/>
          <w:color w:val="auto"/>
        </w:rPr>
        <w:t>Escrow; Pledge of Shares</w:t>
      </w:r>
      <w:r>
        <w:rPr>
          <w:rFonts w:ascii="Times New Roman" w:cs="Times New Roman" w:eastAsia="Times New Roman" w:hAnsi="Times New Roman"/>
          <w:sz w:val="19"/>
          <w:szCs w:val="19"/>
          <w:color w:val="auto"/>
        </w:rPr>
        <w:t xml:space="preserve">. To enforce any restrictions on a Holder’s Shares, the Committee may require the Holder to deposit all certificates representing Shares, together with stock powers or other instruments of transfer approved by the Committee, appropriately endorsed in blank, with the Company or an agent designated by the Company to hold in escrow until such restrictions have lapsed or terminated, and the Committee may cause a legend or legends referencing such restrictions to be placed on the certificates. Any Holder who is permitted to execute a promissory note as partial or full consideration for the purchase of Shares under this Plan will be required to pledge and deposit with the Company all or part of the Shares so purchased as collateral to secure the payment of the Holder’s obligation to the Company under the promissory note;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the Committee may require or accept other or additional forms of collateral to secure the payment of such obligation and, in any event, the Company will have full recourse against the Holder under the promissory note notwithstanding any pledge of the Holder’s Shares or other collateral. In connection with any pledge of the Shares, the Holder will be required to execute and deliver a written pledge agreement in such form as the Committee will from time to time approve. The Shares purchased with the promissory note may be released from the pledge on a pro rata basis as the promissory note is paid.</w:t>
      </w:r>
    </w:p>
    <w:p>
      <w:pPr>
        <w:spacing w:after="0" w:line="116"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20"/>
          <w:szCs w:val="20"/>
          <w:color w:val="auto"/>
        </w:rPr>
        <w:t xml:space="preserve">12.18 </w:t>
      </w:r>
      <w:r>
        <w:rPr>
          <w:rFonts w:ascii="Times New Roman" w:cs="Times New Roman" w:eastAsia="Times New Roman" w:hAnsi="Times New Roman"/>
          <w:sz w:val="20"/>
          <w:szCs w:val="20"/>
          <w:u w:val="single" w:color="auto"/>
          <w:color w:val="auto"/>
        </w:rPr>
        <w:t>No Obligation to Employ</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Nothing in this Plan or any Award granted under this Plan will confer or be deemed to confer on any Holder any right to continue in the employ of, or to continue any other relationship with, the Company or any Parent or Subsidiary of the Company, provide any employment-related rights, or limit in any way the right of the Company or any Parent or Subsidiary of the Company to terminate Holder’s employment or other relationship at any time, subject to applicable legal requirements.</w:t>
      </w:r>
    </w:p>
    <w:p>
      <w:pPr>
        <w:spacing w:after="0" w:line="101"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20"/>
          <w:szCs w:val="20"/>
          <w:color w:val="auto"/>
        </w:rPr>
        <w:t xml:space="preserve">12.19 </w:t>
      </w:r>
      <w:r>
        <w:rPr>
          <w:rFonts w:ascii="Times New Roman" w:cs="Times New Roman" w:eastAsia="Times New Roman" w:hAnsi="Times New Roman"/>
          <w:sz w:val="20"/>
          <w:szCs w:val="20"/>
          <w:u w:val="single" w:color="auto"/>
          <w:color w:val="auto"/>
        </w:rPr>
        <w:t>Insider Trading Policy</w:t>
      </w:r>
      <w:r>
        <w:rPr>
          <w:rFonts w:ascii="Times New Roman" w:cs="Times New Roman" w:eastAsia="Times New Roman" w:hAnsi="Times New Roman"/>
          <w:sz w:val="20"/>
          <w:szCs w:val="20"/>
          <w:color w:val="auto"/>
        </w:rPr>
        <w:t>. Each Holder who receives an Award shall comply with all laws and any policy adopted by the Company from time to time covering transactions in the Company’s securities by Employees, Consultants, officers and/or Directors of the Company.</w:t>
      </w:r>
    </w:p>
    <w:p>
      <w:pPr>
        <w:spacing w:after="0" w:line="100" w:lineRule="exact"/>
        <w:rPr>
          <w:sz w:val="20"/>
          <w:szCs w:val="20"/>
          <w:color w:val="auto"/>
        </w:rPr>
      </w:pPr>
    </w:p>
    <w:p>
      <w:pPr>
        <w:ind w:left="4280"/>
        <w:spacing w:after="0"/>
        <w:tabs>
          <w:tab w:leader="none" w:pos="4920" w:val="left"/>
          <w:tab w:leader="none" w:pos="5560" w:val="left"/>
          <w:tab w:leader="none" w:pos="6200" w:val="left"/>
          <w:tab w:leader="none" w:pos="684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sectPr>
      <w:pgSz w:w="11900" w:h="16838" w:orient="portrait"/>
      <w:cols w:equalWidth="0" w:num="1">
        <w:col w:w="11220"/>
      </w:cols>
      <w:pgMar w:left="320" w:top="98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F2DBA31"/>
    <w:multiLevelType w:val="hybridMultilevel"/>
    <w:lvl w:ilvl="0">
      <w:lvlJc w:val="left"/>
      <w:lvlText w:val="o"/>
      <w:numFmt w:val="bullet"/>
      <w:start w:val="1"/>
    </w:lvl>
  </w:abstractNum>
  <w:abstractNum w:abstractNumId="1">
    <w:nsid w:val="7C83E458"/>
    <w:multiLevelType w:val="hybridMultilevel"/>
    <w:lvl w:ilvl="0">
      <w:lvlJc w:val="left"/>
      <w:lvlText w:val="(%1)"/>
      <w:numFmt w:val="lowerLetter"/>
      <w:start w:val="1"/>
    </w:lvl>
  </w:abstractNum>
  <w:abstractNum w:abstractNumId="2">
    <w:nsid w:val="257130A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
    <w:nsid w:val="62BBD95A"/>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4">
    <w:nsid w:val="436C6125"/>
    <w:multiLevelType w:val="hybridMultilevel"/>
    <w:lvl w:ilvl="0">
      <w:lvlJc w:val="left"/>
      <w:lvlText w:val="(%1)"/>
      <w:numFmt w:val="lowerLetter"/>
      <w:start w:val="4"/>
    </w:lvl>
  </w:abstractNum>
  <w:abstractNum w:abstractNumId="5">
    <w:nsid w:val="628C895D"/>
    <w:multiLevelType w:val="hybridMultilevel"/>
    <w:lvl w:ilvl="0">
      <w:lvlJc w:val="left"/>
      <w:lvlText w:val="(%1)"/>
      <w:numFmt w:val="lowerLetter"/>
      <w:start w:val="1"/>
    </w:lvl>
  </w:abstractNum>
  <w:abstractNum w:abstractNumId="6">
    <w:nsid w:val="333AB105"/>
    <w:multiLevelType w:val="hybridMultilevel"/>
    <w:lvl w:ilvl="0">
      <w:lvlJc w:val="left"/>
      <w:lvlText w:val="(%1)"/>
      <w:numFmt w:val="lowerLetter"/>
      <w:start w:val="4"/>
    </w:lvl>
  </w:abstractNum>
  <w:abstractNum w:abstractNumId="7">
    <w:nsid w:val="721DA317"/>
    <w:multiLevelType w:val="hybridMultilevel"/>
    <w:lvl w:ilvl="0">
      <w:lvlJc w:val="left"/>
      <w:lvlText w:val="%1"/>
      <w:numFmt w:val="lowerRoman"/>
      <w:start w:val="1"/>
    </w:lvl>
    <w:lvl w:ilvl="1">
      <w:lvlJc w:val="left"/>
      <w:lvlText w:val="(%2)"/>
      <w:numFmt w:val="lowerLetter"/>
      <w:start w:val="1"/>
    </w:lvl>
  </w:abstractNum>
  <w:abstractNum w:abstractNumId="8">
    <w:nsid w:val="2443A858"/>
    <w:multiLevelType w:val="hybridMultilevel"/>
    <w:lvl w:ilvl="0">
      <w:lvlJc w:val="left"/>
      <w:lvlText w:val="(%1)"/>
      <w:numFmt w:val="lowerRoman"/>
      <w:start w:val="6"/>
    </w:lvl>
    <w:lvl w:ilvl="1">
      <w:lvlJc w:val="left"/>
      <w:lvlText w:val="%2"/>
      <w:numFmt w:val="lowerLetter"/>
      <w:start w:val="1"/>
    </w:lvl>
  </w:abstractNum>
  <w:abstractNum w:abstractNumId="9">
    <w:nsid w:val="2D1D5AE9"/>
    <w:multiLevelType w:val="hybridMultilevel"/>
    <w:lvl w:ilvl="0">
      <w:lvlJc w:val="left"/>
      <w:lvlText w:val="(%1)"/>
      <w:numFmt w:val="lowerRoman"/>
      <w:start w:val="30"/>
    </w:lvl>
    <w:lvl w:ilvl="1">
      <w:lvlJc w:val="left"/>
      <w:lvlText w:val="(%2)"/>
      <w:numFmt w:val="lowerLetter"/>
      <w:start w:val="2"/>
    </w:lvl>
  </w:abstractNum>
  <w:abstractNum w:abstractNumId="10">
    <w:nsid w:val="6763845E"/>
    <w:multiLevelType w:val="hybridMultilevel"/>
    <w:lvl w:ilvl="0">
      <w:lvlJc w:val="left"/>
      <w:lvlText w:val="(%1)"/>
      <w:numFmt w:val="lowerLetter"/>
      <w:start w:val="1"/>
    </w:lvl>
  </w:abstractNum>
  <w:abstractNum w:abstractNumId="11">
    <w:nsid w:val="75A2A8D4"/>
    <w:multiLevelType w:val="hybridMultilevel"/>
    <w:lvl w:ilvl="0">
      <w:lvlJc w:val="left"/>
      <w:lvlText w:val="(%1)"/>
      <w:numFmt w:val="lowerLetter"/>
      <w:start w:val="1"/>
    </w:lvl>
  </w:abstractNum>
  <w:abstractNum w:abstractNumId="12">
    <w:nsid w:val="8EDBDAB"/>
    <w:multiLevelType w:val="hybridMultilevel"/>
    <w:lvl w:ilvl="0">
      <w:lvlJc w:val="left"/>
      <w:lvlText w:val="(%1)"/>
      <w:numFmt w:val="lowerLetter"/>
      <w:start w:val="4"/>
    </w:lvl>
  </w:abstractNum>
  <w:abstractNum w:abstractNumId="13">
    <w:nsid w:val="79838CB2"/>
    <w:multiLevelType w:val="hybridMultilevel"/>
    <w:lvl w:ilvl="0">
      <w:lvlJc w:val="left"/>
      <w:lvlText w:val="(%1)"/>
      <w:numFmt w:val="lowerLetter"/>
      <w:start w:val="1"/>
    </w:lvl>
  </w:abstractNum>
  <w:abstractNum w:abstractNumId="14">
    <w:nsid w:val="4353D0CD"/>
    <w:multiLevelType w:val="hybridMultilevel"/>
    <w:lvl w:ilvl="0">
      <w:lvlJc w:val="left"/>
      <w:lvlText w:val="(%1)"/>
      <w:numFmt w:val="lowerLetter"/>
      <w:start w:val="1"/>
    </w:lvl>
  </w:abstractNum>
  <w:abstractNum w:abstractNumId="15">
    <w:nsid w:val="B03E0C6"/>
    <w:multiLevelType w:val="hybridMultilevel"/>
    <w:lvl w:ilvl="0">
      <w:lvlJc w:val="left"/>
      <w:lvlText w:val="(%1)"/>
      <w:numFmt w:val="lowerLetter"/>
      <w:start w:val="3"/>
    </w:lvl>
  </w:abstractNum>
  <w:abstractNum w:abstractNumId="16">
    <w:nsid w:val="189A769B"/>
    <w:multiLevelType w:val="hybridMultilevel"/>
    <w:lvl w:ilvl="0">
      <w:lvlJc w:val="left"/>
      <w:lvlText w:val="(%1)"/>
      <w:numFmt w:val="lowerLetter"/>
      <w:start w:val="1"/>
    </w:lvl>
  </w:abstractNum>
  <w:abstractNum w:abstractNumId="17">
    <w:nsid w:val="54E49EB4"/>
    <w:multiLevelType w:val="hybridMultilevel"/>
    <w:lvl w:ilvl="0">
      <w:lvlJc w:val="left"/>
      <w:lvlText w:val="(%1)"/>
      <w:numFmt w:val="lowerLetter"/>
      <w:start w:val="1"/>
    </w:lvl>
  </w:abstractNum>
  <w:abstractNum w:abstractNumId="18">
    <w:nsid w:val="71F32454"/>
    <w:multiLevelType w:val="hybridMultilevel"/>
    <w:lvl w:ilvl="0">
      <w:lvlJc w:val="left"/>
      <w:lvlText w:val="(%1)"/>
      <w:numFmt w:val="lowerLetter"/>
      <w:start w:val="1"/>
    </w:lvl>
  </w:abstractNum>
  <w:abstractNum w:abstractNumId="19">
    <w:nsid w:val="2CA88611"/>
    <w:multiLevelType w:val="hybridMultilevel"/>
    <w:lvl w:ilvl="0">
      <w:lvlJc w:val="left"/>
      <w:lvlText w:val="%1"/>
      <w:numFmt w:val="lowerLetter"/>
      <w:start w:val="1"/>
    </w:lvl>
    <w:lvl w:ilvl="1">
      <w:lvlJc w:val="left"/>
      <w:lvlText w:val="(%2)"/>
      <w:numFmt w:val="lowerLetter"/>
      <w:start w:val="3"/>
    </w:lvl>
  </w:abstractNum>
  <w:abstractNum w:abstractNumId="20">
    <w:nsid w:val="836C40E"/>
    <w:multiLevelType w:val="hybridMultilevel"/>
    <w:lvl w:ilvl="0">
      <w:lvlJc w:val="left"/>
      <w:lvlText w:val="(%1)"/>
      <w:numFmt w:val="lowerLetter"/>
      <w:start w:val="24"/>
    </w:lvl>
    <w:lvl w:ilvl="1">
      <w:lvlJc w:val="left"/>
      <w:lvlText w:val="%2"/>
      <w:numFmt w:val="lowerLetter"/>
      <w:start w:val="1"/>
    </w:lvl>
  </w:abstractNum>
  <w:abstractNum w:abstractNumId="21">
    <w:nsid w:val="2901D82"/>
    <w:multiLevelType w:val="hybridMultilevel"/>
    <w:lvl w:ilvl="0">
      <w:lvlJc w:val="left"/>
      <w:lvlText w:val="(%1)"/>
      <w:numFmt w:val="lowerLetter"/>
      <w:start w:val="1"/>
    </w:lvl>
  </w:abstractNum>
  <w:abstractNum w:abstractNumId="22">
    <w:nsid w:val="3A95F874"/>
    <w:multiLevelType w:val="hybridMultilevel"/>
    <w:lvl w:ilvl="0">
      <w:lvlJc w:val="left"/>
      <w:lvlText w:val="(%1)"/>
      <w:numFmt w:val="lowerLetter"/>
      <w:start w:val="1"/>
    </w:lvl>
  </w:abstractNum>
  <w:abstractNum w:abstractNumId="23">
    <w:nsid w:val="8138641"/>
    <w:multiLevelType w:val="hybridMultilevel"/>
    <w:lvl w:ilvl="0">
      <w:lvlJc w:val="left"/>
      <w:lvlText w:val="(%1)"/>
      <w:numFmt w:val="lowerLetter"/>
      <w:start w:val="1"/>
    </w:lvl>
    <w:lvl w:ilvl="1">
      <w:lvlJc w:val="left"/>
      <w:lvlText w:val="(%2)"/>
      <w:numFmt w:val="lowerRoman"/>
      <w:start w:val="1"/>
    </w:lvl>
  </w:abstractNum>
  <w:abstractNum w:abstractNumId="24">
    <w:nsid w:val="1E7FF521"/>
    <w:multiLevelType w:val="hybridMultilevel"/>
    <w:lvl w:ilvl="0">
      <w:lvlJc w:val="left"/>
      <w:lvlText w:val="(%1)"/>
      <w:numFmt w:val="lowerLetter"/>
      <w:start w:val="3"/>
    </w:lvl>
  </w:abstractNum>
  <w:abstractNum w:abstractNumId="25">
    <w:nsid w:val="7C3DBD3D"/>
    <w:multiLevelType w:val="hybridMultilevel"/>
    <w:lvl w:ilvl="0">
      <w:lvlJc w:val="left"/>
      <w:lvlText w:val="(%1)"/>
      <w:numFmt w:val="lowerLetter"/>
      <w:start w:val="1"/>
    </w:lvl>
  </w:abstractNum>
  <w:abstractNum w:abstractNumId="26">
    <w:nsid w:val="737B8DDC"/>
    <w:multiLevelType w:val="hybridMultilevel"/>
    <w:lvl w:ilvl="0">
      <w:lvlJc w:val="left"/>
      <w:lvlText w:val="(%1)"/>
      <w:numFmt w:val="lowerLetter"/>
      <w:start w:val="1"/>
    </w:lvl>
  </w:abstractNum>
  <w:abstractNum w:abstractNumId="27">
    <w:nsid w:val="6CEAF087"/>
    <w:multiLevelType w:val="hybridMultilevel"/>
    <w:lvl w:ilvl="0">
      <w:lvlJc w:val="left"/>
      <w:lvlText w:val="(%1)"/>
      <w:numFmt w:val="lowerLetter"/>
      <w:start w:val="2"/>
    </w:lvl>
  </w:abstractNum>
  <w:abstractNum w:abstractNumId="28">
    <w:nsid w:val="22221A70"/>
    <w:multiLevelType w:val="hybridMultilevel"/>
    <w:lvl w:ilvl="0">
      <w:lvlJc w:val="left"/>
      <w:lvlText w:val="(%1)"/>
      <w:numFmt w:val="lowerLetter"/>
      <w:start w:val="1"/>
    </w:lvl>
  </w:abstractNum>
  <w:abstractNum w:abstractNumId="29">
    <w:nsid w:val="4516DDE9"/>
    <w:multiLevelType w:val="hybridMultilevel"/>
    <w:lvl w:ilvl="0">
      <w:lvlJc w:val="left"/>
      <w:lvlText w:val="(%1)"/>
      <w:numFmt w:val="lowerLetter"/>
      <w:start w:val="1"/>
    </w:lvl>
  </w:abstractNum>
  <w:abstractNum w:abstractNumId="30">
    <w:nsid w:val="3006C83E"/>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1"/>
    </w:lvl>
  </w:abstractNum>
  <w:abstractNum w:abstractNumId="31">
    <w:nsid w:val="614FD4A1"/>
    <w:multiLevelType w:val="hybridMultilevel"/>
    <w:lvl w:ilvl="0">
      <w:lvlJc w:val="left"/>
      <w:lvlText w:val="(%1)"/>
      <w:numFmt w:val="lowerRoman"/>
      <w:start w:val="4"/>
    </w:lvl>
    <w:lvl w:ilvl="1">
      <w:lvlJc w:val="left"/>
      <w:lvlText w:val="(%2)"/>
      <w:numFmt w:val="lowerLetter"/>
      <w:start w:val="2"/>
    </w:lvl>
    <w:lvl w:ilvl="2">
      <w:lvlJc w:val="left"/>
      <w:lvlText w:val="(%3)"/>
      <w:numFmt w:val="lowerLetter"/>
      <w:start w:val="9"/>
    </w:lvl>
  </w:abstractNum>
  <w:abstractNum w:abstractNumId="32">
    <w:nsid w:val="419AC241"/>
    <w:multiLevelType w:val="hybridMultilevel"/>
    <w:lvl w:ilvl="0">
      <w:lvlJc w:val="left"/>
      <w:lvlText w:val="%1"/>
      <w:numFmt w:val="lowerLetter"/>
      <w:start w:val="1"/>
    </w:lvl>
    <w:lvl w:ilvl="1">
      <w:lvlJc w:val="left"/>
      <w:lvlText w:val="(%2)"/>
      <w:numFmt w:val="lowerRoman"/>
      <w:start w:val="2"/>
    </w:lvl>
  </w:abstractNum>
  <w:abstractNum w:abstractNumId="33">
    <w:nsid w:val="5577F8E1"/>
    <w:multiLevelType w:val="hybridMultilevel"/>
    <w:lvl w:ilvl="0">
      <w:lvlJc w:val="left"/>
      <w:lvlText w:val="(%1)"/>
      <w:numFmt w:val="lowerLetter"/>
      <w:start w:val="3"/>
    </w:lvl>
    <w:lvl w:ilvl="1">
      <w:lvlJc w:val="left"/>
      <w:lvlText w:val="%2"/>
      <w:numFmt w:val="lowerRoman"/>
      <w:start w:val="1"/>
    </w:lvl>
  </w:abstractNum>
  <w:abstractNum w:abstractNumId="34">
    <w:nsid w:val="440BADFC"/>
    <w:multiLevelType w:val="hybridMultilevel"/>
    <w:lvl w:ilvl="0">
      <w:lvlJc w:val="left"/>
      <w:lvlText w:val="(%1)"/>
      <w:numFmt w:val="lowerLetter"/>
      <w:start w:val="1"/>
    </w:lvl>
  </w:abstractNum>
  <w:abstractNum w:abstractNumId="35">
    <w:nsid w:val="507236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9" Type="http://schemas.openxmlformats.org/officeDocument/2006/relationships/hyperlink" Target="https://www.sec.gov/ix?doc=/Archives/edgar/data/1237831/000162828026027196/gmed-2026042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2026-06-04T15:20:37Z</dcterms:created>
  <dcterms:modified xsi:type="dcterms:W3CDTF">2026-06-04T15:20:37Z</dcterms:modified>
</cp:coreProperties>
</file>